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6A0" w:rsidRDefault="006376A0" w:rsidP="006376A0">
      <w:pPr>
        <w:pStyle w:val="Body"/>
        <w:spacing w:line="240" w:lineRule="auto"/>
        <w:contextualSpacing/>
        <w:jc w:val="center"/>
        <w:rPr>
          <w:rFonts w:asciiTheme="minorHAnsi" w:hAnsiTheme="minorHAnsi"/>
          <w:sz w:val="20"/>
          <w:szCs w:val="20"/>
        </w:rPr>
      </w:pPr>
      <w:r w:rsidRPr="00301AD5">
        <w:rPr>
          <w:noProof/>
          <w:color w:val="2F5496" w:themeColor="accent1" w:themeShade="BF"/>
          <w:sz w:val="18"/>
        </w:rPr>
        <w:drawing>
          <wp:inline distT="0" distB="0" distL="0" distR="0" wp14:anchorId="238D8C98" wp14:editId="085778DE">
            <wp:extent cx="2366269"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mar-Recruitment-Logo--Blue-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6269" cy="900000"/>
                    </a:xfrm>
                    <a:prstGeom prst="rect">
                      <a:avLst/>
                    </a:prstGeom>
                  </pic:spPr>
                </pic:pic>
              </a:graphicData>
            </a:graphic>
          </wp:inline>
        </w:drawing>
      </w:r>
    </w:p>
    <w:p w:rsidR="006376A0" w:rsidRDefault="006376A0" w:rsidP="006376A0">
      <w:pPr>
        <w:spacing w:line="240" w:lineRule="auto"/>
        <w:ind w:left="2880" w:firstLine="720"/>
        <w:contextualSpacing/>
        <w:rPr>
          <w:b/>
          <w:color w:val="005883"/>
          <w:sz w:val="18"/>
        </w:rPr>
      </w:pPr>
      <w:r w:rsidRPr="00301AD5">
        <w:rPr>
          <w:b/>
          <w:color w:val="005883"/>
          <w:sz w:val="18"/>
        </w:rPr>
        <w:t>(Company No: 353252)</w:t>
      </w:r>
    </w:p>
    <w:p w:rsidR="006376A0" w:rsidRPr="00301AD5" w:rsidRDefault="006376A0" w:rsidP="006376A0">
      <w:pPr>
        <w:spacing w:line="240" w:lineRule="auto"/>
        <w:contextualSpacing/>
        <w:jc w:val="center"/>
        <w:rPr>
          <w:b/>
          <w:color w:val="005883"/>
          <w:sz w:val="18"/>
        </w:rPr>
      </w:pPr>
      <w:r w:rsidRPr="00301AD5">
        <w:rPr>
          <w:b/>
          <w:color w:val="005883"/>
          <w:sz w:val="18"/>
        </w:rPr>
        <w:t>13 Hume Street, Dublin 2, D02 F861</w:t>
      </w:r>
    </w:p>
    <w:p w:rsidR="006376A0" w:rsidRPr="00301AD5" w:rsidRDefault="006376A0" w:rsidP="006376A0">
      <w:pPr>
        <w:spacing w:line="240" w:lineRule="auto"/>
        <w:contextualSpacing/>
        <w:jc w:val="center"/>
        <w:rPr>
          <w:b/>
          <w:color w:val="005883"/>
          <w:sz w:val="18"/>
        </w:rPr>
      </w:pPr>
      <w:r w:rsidRPr="00301AD5">
        <w:rPr>
          <w:b/>
          <w:color w:val="005883"/>
          <w:sz w:val="18"/>
        </w:rPr>
        <w:t>Tel: 01 4744600 Fax: 01 4744640</w:t>
      </w:r>
    </w:p>
    <w:p w:rsidR="006376A0" w:rsidRPr="006376A0" w:rsidRDefault="006376A0" w:rsidP="006376A0">
      <w:pPr>
        <w:spacing w:line="240" w:lineRule="auto"/>
        <w:contextualSpacing/>
        <w:jc w:val="center"/>
        <w:rPr>
          <w:b/>
          <w:color w:val="005883"/>
          <w:sz w:val="18"/>
        </w:rPr>
      </w:pPr>
      <w:r w:rsidRPr="00301AD5">
        <w:rPr>
          <w:b/>
          <w:color w:val="005883"/>
          <w:sz w:val="18"/>
        </w:rPr>
        <w:t xml:space="preserve">Email: </w:t>
      </w:r>
      <w:r w:rsidRPr="005C7D51">
        <w:rPr>
          <w:b/>
          <w:color w:val="005883"/>
          <w:sz w:val="18"/>
        </w:rPr>
        <w:t>info@sigmar.ie</w:t>
      </w:r>
      <w:r w:rsidRPr="00301AD5">
        <w:rPr>
          <w:b/>
          <w:color w:val="005883"/>
          <w:sz w:val="18"/>
        </w:rPr>
        <w:t xml:space="preserve"> Web: www.sigmar.ie</w:t>
      </w:r>
    </w:p>
    <w:p w:rsidR="006376A0" w:rsidRDefault="006376A0" w:rsidP="006376A0">
      <w:pPr>
        <w:pStyle w:val="Body"/>
        <w:spacing w:line="240" w:lineRule="auto"/>
        <w:contextualSpacing/>
        <w:rPr>
          <w:rFonts w:asciiTheme="minorHAnsi" w:hAnsiTheme="minorHAnsi"/>
          <w:sz w:val="20"/>
          <w:szCs w:val="20"/>
        </w:rPr>
      </w:pPr>
    </w:p>
    <w:p w:rsidR="006376A0" w:rsidRPr="006376A0" w:rsidRDefault="006376A0" w:rsidP="006376A0">
      <w:pPr>
        <w:pStyle w:val="Body"/>
        <w:spacing w:line="240" w:lineRule="auto"/>
        <w:contextualSpacing/>
        <w:rPr>
          <w:rFonts w:asciiTheme="minorHAnsi" w:hAnsiTheme="minorHAnsi"/>
          <w:sz w:val="20"/>
          <w:szCs w:val="20"/>
        </w:rPr>
      </w:pPr>
      <w:r w:rsidRPr="00301AD5">
        <w:rPr>
          <w:rFonts w:asciiTheme="minorHAnsi" w:hAnsiTheme="minorHAnsi"/>
          <w:sz w:val="20"/>
          <w:szCs w:val="20"/>
        </w:rPr>
        <w:t xml:space="preserve">The following terms and conditions govern the overall relationship between </w:t>
      </w:r>
      <w:proofErr w:type="spellStart"/>
      <w:r w:rsidRPr="00301AD5">
        <w:rPr>
          <w:rFonts w:asciiTheme="minorHAnsi" w:hAnsiTheme="minorHAnsi"/>
          <w:sz w:val="20"/>
          <w:szCs w:val="20"/>
        </w:rPr>
        <w:t>Sigmar</w:t>
      </w:r>
      <w:proofErr w:type="spellEnd"/>
      <w:r w:rsidRPr="00301AD5">
        <w:rPr>
          <w:rFonts w:asciiTheme="minorHAnsi" w:hAnsiTheme="minorHAnsi"/>
          <w:sz w:val="20"/>
          <w:szCs w:val="20"/>
        </w:rPr>
        <w:t xml:space="preserve"> Recruitment Consultants Limited (the </w:t>
      </w:r>
      <w:r w:rsidRPr="00301AD5">
        <w:rPr>
          <w:rFonts w:asciiTheme="minorHAnsi" w:hAnsiTheme="minorHAnsi"/>
          <w:b/>
          <w:sz w:val="20"/>
          <w:szCs w:val="20"/>
        </w:rPr>
        <w:t>Company</w:t>
      </w:r>
      <w:r w:rsidRPr="00301AD5">
        <w:rPr>
          <w:rFonts w:asciiTheme="minorHAnsi" w:hAnsiTheme="minorHAnsi"/>
          <w:sz w:val="20"/>
          <w:szCs w:val="20"/>
        </w:rPr>
        <w:t xml:space="preserve">) and you (the </w:t>
      </w:r>
      <w:r w:rsidRPr="00301AD5">
        <w:rPr>
          <w:rFonts w:asciiTheme="minorHAnsi" w:hAnsiTheme="minorHAnsi"/>
          <w:b/>
          <w:sz w:val="20"/>
          <w:szCs w:val="20"/>
        </w:rPr>
        <w:t>Client</w:t>
      </w:r>
      <w:r w:rsidRPr="00301AD5">
        <w:rPr>
          <w:rFonts w:asciiTheme="minorHAnsi" w:hAnsiTheme="minorHAnsi"/>
          <w:sz w:val="20"/>
          <w:szCs w:val="20"/>
        </w:rPr>
        <w:t>)</w:t>
      </w:r>
      <w:r w:rsidRPr="00301AD5">
        <w:rPr>
          <w:rFonts w:asciiTheme="minorHAnsi" w:hAnsiTheme="minorHAnsi"/>
          <w:b/>
          <w:sz w:val="20"/>
          <w:szCs w:val="20"/>
        </w:rPr>
        <w:t xml:space="preserve"> </w:t>
      </w:r>
      <w:r w:rsidRPr="00301AD5">
        <w:rPr>
          <w:rFonts w:asciiTheme="minorHAnsi" w:hAnsiTheme="minorHAnsi"/>
          <w:sz w:val="20"/>
          <w:szCs w:val="20"/>
        </w:rPr>
        <w:t xml:space="preserve">for the supply of permanent staff (the </w:t>
      </w:r>
      <w:r w:rsidRPr="00301AD5">
        <w:rPr>
          <w:rFonts w:asciiTheme="minorHAnsi" w:hAnsiTheme="minorHAnsi"/>
          <w:b/>
          <w:sz w:val="20"/>
          <w:szCs w:val="20"/>
        </w:rPr>
        <w:t>Agreement</w:t>
      </w:r>
      <w:r w:rsidRPr="00301AD5">
        <w:rPr>
          <w:rFonts w:asciiTheme="minorHAnsi" w:hAnsiTheme="minorHAnsi"/>
          <w:sz w:val="20"/>
          <w:szCs w:val="20"/>
        </w:rPr>
        <w:t xml:space="preserve">). </w:t>
      </w:r>
    </w:p>
    <w:p w:rsidR="006376A0" w:rsidRPr="00301AD5" w:rsidRDefault="006376A0" w:rsidP="006376A0">
      <w:pPr>
        <w:autoSpaceDE w:val="0"/>
        <w:autoSpaceDN w:val="0"/>
        <w:adjustRightInd w:val="0"/>
        <w:spacing w:after="0" w:line="240" w:lineRule="auto"/>
        <w:ind w:left="2880" w:hanging="2880"/>
        <w:contextualSpacing/>
        <w:jc w:val="both"/>
        <w:textAlignment w:val="center"/>
        <w:rPr>
          <w:rFonts w:cs="Calibri"/>
          <w:b/>
          <w:bCs/>
          <w:color w:val="000000"/>
          <w:sz w:val="20"/>
          <w:szCs w:val="20"/>
          <w:lang w:val="en-US"/>
        </w:rPr>
      </w:pPr>
      <w:r w:rsidRPr="00301AD5">
        <w:rPr>
          <w:rFonts w:cs="Calibri"/>
          <w:b/>
          <w:bCs/>
          <w:color w:val="000000"/>
          <w:sz w:val="20"/>
          <w:szCs w:val="20"/>
          <w:lang w:val="en-US"/>
        </w:rPr>
        <w:t xml:space="preserve">CLIENT NAME: </w:t>
      </w:r>
      <w:sdt>
        <w:sdtPr>
          <w:rPr>
            <w:rFonts w:cs="Calibri"/>
            <w:b/>
            <w:bCs/>
            <w:color w:val="000000"/>
            <w:sz w:val="20"/>
            <w:szCs w:val="20"/>
            <w:lang w:val="en-US"/>
          </w:rPr>
          <w:id w:val="106170333"/>
          <w:placeholder>
            <w:docPart w:val="82EC142108CD4D1280B8A181CF22F969"/>
          </w:placeholder>
        </w:sdtPr>
        <w:sdtEndPr/>
        <w:sdtContent>
          <w:r w:rsidRPr="00301AD5">
            <w:rPr>
              <w:rFonts w:cs="Calibri"/>
              <w:b/>
              <w:bCs/>
              <w:color w:val="000000"/>
              <w:sz w:val="20"/>
              <w:szCs w:val="20"/>
              <w:lang w:val="en-US"/>
            </w:rPr>
            <w:t xml:space="preserve">   </w:t>
          </w:r>
          <w:r w:rsidR="00254491">
            <w:rPr>
              <w:rFonts w:cs="Calibri"/>
              <w:b/>
              <w:bCs/>
              <w:color w:val="000000"/>
              <w:sz w:val="20"/>
              <w:szCs w:val="20"/>
              <w:lang w:val="en-US"/>
            </w:rPr>
            <w:t>Yara International</w:t>
          </w:r>
          <w:r w:rsidRPr="00301AD5">
            <w:rPr>
              <w:rFonts w:cs="Calibri"/>
              <w:b/>
              <w:bCs/>
              <w:color w:val="000000"/>
              <w:sz w:val="20"/>
              <w:szCs w:val="20"/>
              <w:lang w:val="en-US"/>
            </w:rPr>
            <w:t xml:space="preserve">                                           </w:t>
          </w:r>
        </w:sdtContent>
      </w:sdt>
      <w:r w:rsidRPr="00301AD5">
        <w:rPr>
          <w:rFonts w:cs="Calibri"/>
          <w:b/>
          <w:bCs/>
          <w:color w:val="000000"/>
          <w:sz w:val="20"/>
          <w:szCs w:val="20"/>
          <w:lang w:val="en-US"/>
        </w:rPr>
        <w:tab/>
        <w:t xml:space="preserve">CLIENT ADDRESS: </w:t>
      </w:r>
      <w:sdt>
        <w:sdtPr>
          <w:rPr>
            <w:rFonts w:cs="Calibri"/>
            <w:b/>
            <w:bCs/>
            <w:color w:val="000000"/>
            <w:sz w:val="20"/>
            <w:szCs w:val="20"/>
            <w:lang w:val="en-US"/>
          </w:rPr>
          <w:id w:val="-1433511225"/>
          <w:placeholder>
            <w:docPart w:val="82EC142108CD4D1280B8A181CF22F969"/>
          </w:placeholder>
        </w:sdtPr>
        <w:sdtEndPr/>
        <w:sdtContent>
          <w:r w:rsidRPr="00301AD5">
            <w:rPr>
              <w:rFonts w:cs="Calibri"/>
              <w:b/>
              <w:bCs/>
              <w:color w:val="000000"/>
              <w:sz w:val="20"/>
              <w:szCs w:val="20"/>
              <w:lang w:val="en-US"/>
            </w:rPr>
            <w:t xml:space="preserve">                                                                                  </w:t>
          </w:r>
        </w:sdtContent>
      </w:sdt>
    </w:p>
    <w:p w:rsidR="006376A0" w:rsidRPr="00301AD5" w:rsidRDefault="006376A0" w:rsidP="006376A0">
      <w:pPr>
        <w:autoSpaceDE w:val="0"/>
        <w:autoSpaceDN w:val="0"/>
        <w:adjustRightInd w:val="0"/>
        <w:spacing w:after="0" w:line="240" w:lineRule="auto"/>
        <w:contextualSpacing/>
        <w:jc w:val="both"/>
        <w:textAlignment w:val="center"/>
        <w:rPr>
          <w:rFonts w:cs="Calibri"/>
          <w:b/>
          <w:bCs/>
          <w:i/>
          <w:iCs/>
          <w:color w:val="000000"/>
          <w:spacing w:val="-4"/>
          <w:sz w:val="20"/>
          <w:szCs w:val="20"/>
          <w:lang w:val="en-US"/>
        </w:rPr>
      </w:pPr>
    </w:p>
    <w:p w:rsidR="006376A0" w:rsidRPr="00301AD5" w:rsidRDefault="006376A0" w:rsidP="006376A0">
      <w:pPr>
        <w:autoSpaceDE w:val="0"/>
        <w:autoSpaceDN w:val="0"/>
        <w:adjustRightInd w:val="0"/>
        <w:spacing w:after="0" w:line="240" w:lineRule="auto"/>
        <w:contextualSpacing/>
        <w:jc w:val="both"/>
        <w:textAlignment w:val="center"/>
        <w:rPr>
          <w:rFonts w:cs="Calibri"/>
          <w:b/>
          <w:bCs/>
          <w:i/>
          <w:iCs/>
          <w:color w:val="000000"/>
          <w:spacing w:val="-4"/>
          <w:sz w:val="20"/>
          <w:szCs w:val="20"/>
          <w:lang w:val="en-US"/>
        </w:rPr>
      </w:pPr>
    </w:p>
    <w:p w:rsidR="006376A0" w:rsidRDefault="006376A0" w:rsidP="006376A0">
      <w:pPr>
        <w:pStyle w:val="Level1"/>
        <w:spacing w:line="240" w:lineRule="auto"/>
        <w:contextualSpacing/>
        <w:rPr>
          <w:rFonts w:asciiTheme="minorHAnsi" w:hAnsiTheme="minorHAnsi"/>
          <w:sz w:val="20"/>
          <w:szCs w:val="20"/>
        </w:rPr>
      </w:pPr>
      <w:r w:rsidRPr="00301AD5">
        <w:rPr>
          <w:rFonts w:asciiTheme="minorHAnsi" w:hAnsiTheme="minorHAnsi"/>
          <w:sz w:val="20"/>
          <w:szCs w:val="20"/>
          <w:u w:val="single"/>
        </w:rPr>
        <w:t>Terms and Conditions.</w:t>
      </w:r>
      <w:r w:rsidRPr="00301AD5">
        <w:rPr>
          <w:rFonts w:asciiTheme="minorHAnsi" w:hAnsiTheme="minorHAnsi"/>
          <w:sz w:val="20"/>
          <w:szCs w:val="20"/>
        </w:rPr>
        <w:t xml:space="preserve"> These terms and conditions are </w:t>
      </w:r>
      <w:proofErr w:type="gramStart"/>
      <w:r w:rsidRPr="00301AD5">
        <w:rPr>
          <w:rFonts w:asciiTheme="minorHAnsi" w:hAnsiTheme="minorHAnsi"/>
          <w:sz w:val="20"/>
          <w:szCs w:val="20"/>
        </w:rPr>
        <w:t>entered into</w:t>
      </w:r>
      <w:proofErr w:type="gramEnd"/>
      <w:r w:rsidRPr="00301AD5">
        <w:rPr>
          <w:rFonts w:asciiTheme="minorHAnsi" w:hAnsiTheme="minorHAnsi"/>
          <w:sz w:val="20"/>
          <w:szCs w:val="20"/>
        </w:rPr>
        <w:t xml:space="preserve"> between the Company and the Client and govern the overall relationship between the Supplier and the Client in respect of the Company's provision of services to the Client.</w:t>
      </w:r>
    </w:p>
    <w:p w:rsidR="006376A0" w:rsidRPr="00AA0B04" w:rsidRDefault="006376A0" w:rsidP="006376A0">
      <w:pPr>
        <w:pStyle w:val="Level1"/>
        <w:numPr>
          <w:ilvl w:val="0"/>
          <w:numId w:val="0"/>
        </w:numPr>
        <w:spacing w:line="240" w:lineRule="auto"/>
        <w:ind w:left="850"/>
        <w:contextualSpacing/>
        <w:rPr>
          <w:rFonts w:asciiTheme="minorHAnsi" w:hAnsiTheme="minorHAnsi"/>
          <w:sz w:val="20"/>
          <w:szCs w:val="20"/>
        </w:rPr>
      </w:pPr>
    </w:p>
    <w:p w:rsidR="006376A0" w:rsidRDefault="006376A0" w:rsidP="006376A0">
      <w:pPr>
        <w:pStyle w:val="Level1"/>
        <w:spacing w:line="240" w:lineRule="auto"/>
        <w:contextualSpacing/>
        <w:rPr>
          <w:rFonts w:asciiTheme="minorHAnsi" w:hAnsiTheme="minorHAnsi"/>
          <w:sz w:val="20"/>
          <w:szCs w:val="20"/>
        </w:rPr>
      </w:pPr>
      <w:r w:rsidRPr="00301AD5">
        <w:rPr>
          <w:rFonts w:asciiTheme="minorHAnsi" w:hAnsiTheme="minorHAnsi"/>
          <w:sz w:val="20"/>
          <w:szCs w:val="20"/>
          <w:u w:val="single"/>
        </w:rPr>
        <w:t>The Services.</w:t>
      </w:r>
      <w:r w:rsidRPr="00301AD5">
        <w:rPr>
          <w:rFonts w:asciiTheme="minorHAnsi" w:hAnsiTheme="minorHAnsi"/>
          <w:sz w:val="20"/>
          <w:szCs w:val="20"/>
        </w:rPr>
        <w:t xml:space="preserve">  The Company offers the Client permanent staff (the </w:t>
      </w:r>
      <w:r w:rsidRPr="00301AD5">
        <w:rPr>
          <w:rFonts w:asciiTheme="minorHAnsi" w:hAnsiTheme="minorHAnsi"/>
          <w:b/>
          <w:sz w:val="20"/>
          <w:szCs w:val="20"/>
        </w:rPr>
        <w:t>Services</w:t>
      </w:r>
      <w:r w:rsidRPr="00301AD5">
        <w:rPr>
          <w:rFonts w:asciiTheme="minorHAnsi" w:hAnsiTheme="minorHAnsi"/>
          <w:sz w:val="20"/>
          <w:szCs w:val="20"/>
        </w:rPr>
        <w:t xml:space="preserve">) upon the terms and conditions set out in this Agreement.  </w:t>
      </w:r>
      <w:r w:rsidR="00CB6814">
        <w:rPr>
          <w:rFonts w:asciiTheme="minorHAnsi" w:hAnsiTheme="minorHAnsi"/>
          <w:sz w:val="20"/>
          <w:szCs w:val="20"/>
        </w:rPr>
        <w:t>Terms specific to the service offering of permanent staff is set out in Appendix</w:t>
      </w:r>
      <w:r w:rsidR="00A44B95">
        <w:rPr>
          <w:rFonts w:asciiTheme="minorHAnsi" w:hAnsiTheme="minorHAnsi"/>
          <w:sz w:val="20"/>
          <w:szCs w:val="20"/>
        </w:rPr>
        <w:t xml:space="preserve"> </w:t>
      </w:r>
      <w:proofErr w:type="gramStart"/>
      <w:r w:rsidR="00A44B95">
        <w:rPr>
          <w:rFonts w:asciiTheme="minorHAnsi" w:hAnsiTheme="minorHAnsi"/>
          <w:sz w:val="20"/>
          <w:szCs w:val="20"/>
        </w:rPr>
        <w:t>A</w:t>
      </w:r>
      <w:r w:rsidR="00CB6814">
        <w:rPr>
          <w:rFonts w:asciiTheme="minorHAnsi" w:hAnsiTheme="minorHAnsi"/>
          <w:sz w:val="20"/>
          <w:szCs w:val="20"/>
        </w:rPr>
        <w:t xml:space="preserve">  and</w:t>
      </w:r>
      <w:proofErr w:type="gramEnd"/>
      <w:r w:rsidR="00CB6814">
        <w:rPr>
          <w:rFonts w:asciiTheme="minorHAnsi" w:hAnsiTheme="minorHAnsi"/>
          <w:sz w:val="20"/>
          <w:szCs w:val="20"/>
        </w:rPr>
        <w:t xml:space="preserve"> shall be deemed to be incorporated into this Agreement as applicable. </w:t>
      </w:r>
    </w:p>
    <w:p w:rsidR="006376A0" w:rsidRPr="00AA0B04" w:rsidRDefault="006376A0" w:rsidP="006376A0">
      <w:pPr>
        <w:pStyle w:val="Level1"/>
        <w:numPr>
          <w:ilvl w:val="0"/>
          <w:numId w:val="0"/>
        </w:numPr>
        <w:spacing w:line="240" w:lineRule="auto"/>
        <w:contextualSpacing/>
        <w:rPr>
          <w:rFonts w:asciiTheme="minorHAnsi" w:hAnsiTheme="minorHAnsi"/>
          <w:sz w:val="20"/>
          <w:szCs w:val="20"/>
        </w:rPr>
      </w:pPr>
    </w:p>
    <w:p w:rsidR="006376A0" w:rsidRDefault="006376A0" w:rsidP="006376A0">
      <w:pPr>
        <w:pStyle w:val="Level1"/>
        <w:spacing w:line="240" w:lineRule="auto"/>
        <w:contextualSpacing/>
        <w:rPr>
          <w:rFonts w:asciiTheme="minorHAnsi" w:hAnsiTheme="minorHAnsi"/>
          <w:sz w:val="20"/>
          <w:szCs w:val="20"/>
        </w:rPr>
      </w:pPr>
      <w:r w:rsidRPr="00301AD5">
        <w:rPr>
          <w:rFonts w:asciiTheme="minorHAnsi" w:hAnsiTheme="minorHAnsi"/>
          <w:sz w:val="20"/>
          <w:szCs w:val="20"/>
          <w:u w:val="single"/>
        </w:rPr>
        <w:t>Acceptance of Terms and Conditions.</w:t>
      </w:r>
      <w:r w:rsidRPr="00301AD5">
        <w:rPr>
          <w:rFonts w:asciiTheme="minorHAnsi" w:hAnsiTheme="minorHAnsi"/>
          <w:sz w:val="20"/>
          <w:szCs w:val="20"/>
        </w:rPr>
        <w:t xml:space="preserve"> The accept</w:t>
      </w:r>
      <w:r>
        <w:rPr>
          <w:rFonts w:asciiTheme="minorHAnsi" w:hAnsiTheme="minorHAnsi"/>
          <w:sz w:val="20"/>
          <w:szCs w:val="20"/>
        </w:rPr>
        <w:t>ance of CV</w:t>
      </w:r>
      <w:r w:rsidRPr="00301AD5">
        <w:rPr>
          <w:rFonts w:asciiTheme="minorHAnsi" w:hAnsiTheme="minorHAnsi"/>
          <w:sz w:val="20"/>
          <w:szCs w:val="20"/>
        </w:rPr>
        <w:t xml:space="preserve">s, interviewing or engagement of a candidate introduced by the Company (the </w:t>
      </w:r>
      <w:r w:rsidRPr="00301AD5">
        <w:rPr>
          <w:rFonts w:asciiTheme="minorHAnsi" w:hAnsiTheme="minorHAnsi"/>
          <w:b/>
          <w:sz w:val="20"/>
          <w:szCs w:val="20"/>
        </w:rPr>
        <w:t>Candidate</w:t>
      </w:r>
      <w:r w:rsidRPr="00301AD5">
        <w:rPr>
          <w:rFonts w:asciiTheme="minorHAnsi" w:hAnsiTheme="minorHAnsi"/>
          <w:sz w:val="20"/>
          <w:szCs w:val="20"/>
        </w:rPr>
        <w:t>) shall be deemed to be acceptance of these terms and conditions.  No change or amendment to these terms and conditions whatsoever shall be deemed accepted unless expressly authorised in writing by director of the Company in an addendum to this Agreement</w:t>
      </w:r>
      <w:r>
        <w:rPr>
          <w:rFonts w:asciiTheme="minorHAnsi" w:hAnsiTheme="minorHAnsi"/>
          <w:sz w:val="20"/>
          <w:szCs w:val="20"/>
        </w:rPr>
        <w:t>.</w:t>
      </w:r>
    </w:p>
    <w:p w:rsidR="006376A0" w:rsidRPr="00AA0B04" w:rsidRDefault="006376A0" w:rsidP="006376A0">
      <w:pPr>
        <w:pStyle w:val="Level1"/>
        <w:numPr>
          <w:ilvl w:val="0"/>
          <w:numId w:val="0"/>
        </w:numPr>
        <w:spacing w:line="240" w:lineRule="auto"/>
        <w:ind w:left="850"/>
        <w:contextualSpacing/>
        <w:rPr>
          <w:rFonts w:asciiTheme="minorHAnsi" w:hAnsiTheme="minorHAnsi"/>
          <w:sz w:val="20"/>
          <w:szCs w:val="20"/>
        </w:rPr>
      </w:pPr>
    </w:p>
    <w:p w:rsidR="006376A0" w:rsidRDefault="006376A0" w:rsidP="006376A0">
      <w:pPr>
        <w:pStyle w:val="Level1"/>
        <w:spacing w:line="240" w:lineRule="auto"/>
        <w:contextualSpacing/>
        <w:rPr>
          <w:rFonts w:asciiTheme="minorHAnsi" w:hAnsiTheme="minorHAnsi"/>
          <w:sz w:val="20"/>
          <w:szCs w:val="20"/>
        </w:rPr>
      </w:pPr>
      <w:r w:rsidRPr="00301AD5">
        <w:rPr>
          <w:rFonts w:asciiTheme="minorHAnsi" w:hAnsiTheme="minorHAnsi"/>
          <w:sz w:val="20"/>
          <w:szCs w:val="20"/>
          <w:u w:val="single"/>
        </w:rPr>
        <w:t>Confidentiality.</w:t>
      </w:r>
      <w:r w:rsidRPr="00301AD5">
        <w:rPr>
          <w:rFonts w:asciiTheme="minorHAnsi" w:hAnsiTheme="minorHAnsi"/>
          <w:sz w:val="20"/>
          <w:szCs w:val="20"/>
        </w:rPr>
        <w:t xml:space="preserve"> Candidate details are sent to the Client on the understanding that they are treated in the strictest confidence, that the Client will not take up references or pass any Candidate details on to a third party or make direct contact with the Candidate without the Company's express permission.  In addition, the Client shall not during and after termination or expiry of this Agreement, without the prior written consent of the Company, use or disclose to any other person any information of the company which is identified as confidential or which is confidential by its nature, including but not limited to any commercial arrangements agreed between the Company and the Client.</w:t>
      </w:r>
    </w:p>
    <w:p w:rsidR="006376A0" w:rsidRPr="00AA0B04" w:rsidRDefault="006376A0" w:rsidP="006376A0">
      <w:pPr>
        <w:pStyle w:val="Level1"/>
        <w:numPr>
          <w:ilvl w:val="0"/>
          <w:numId w:val="0"/>
        </w:numPr>
        <w:spacing w:line="240" w:lineRule="auto"/>
        <w:ind w:left="850"/>
        <w:contextualSpacing/>
        <w:rPr>
          <w:rFonts w:asciiTheme="minorHAnsi" w:hAnsiTheme="minorHAnsi"/>
          <w:sz w:val="20"/>
          <w:szCs w:val="20"/>
        </w:rPr>
      </w:pPr>
    </w:p>
    <w:p w:rsidR="006376A0" w:rsidRDefault="006376A0" w:rsidP="006376A0">
      <w:pPr>
        <w:pStyle w:val="Level1"/>
        <w:spacing w:line="240" w:lineRule="auto"/>
        <w:contextualSpacing/>
        <w:rPr>
          <w:rFonts w:asciiTheme="minorHAnsi" w:hAnsiTheme="minorHAnsi"/>
          <w:sz w:val="20"/>
          <w:szCs w:val="20"/>
        </w:rPr>
      </w:pPr>
      <w:r w:rsidRPr="00301AD5">
        <w:rPr>
          <w:rFonts w:asciiTheme="minorHAnsi" w:hAnsiTheme="minorHAnsi"/>
          <w:sz w:val="20"/>
          <w:szCs w:val="20"/>
          <w:u w:val="single"/>
        </w:rPr>
        <w:t>No warranty.</w:t>
      </w:r>
      <w:r w:rsidRPr="00301AD5">
        <w:rPr>
          <w:rFonts w:asciiTheme="minorHAnsi" w:hAnsiTheme="minorHAnsi"/>
          <w:sz w:val="20"/>
          <w:szCs w:val="20"/>
        </w:rPr>
        <w:t xml:space="preserve"> The Company makes no warranty (express or implied), as to the suitability of any Candidate introduced to the Client.  The Company does not accept any liability for any loss, damage, costs or expenses, howsoever caused which the Client may suffer, or for which the Client may become liable arising out of, or in connection with or </w:t>
      </w:r>
      <w:proofErr w:type="gramStart"/>
      <w:r w:rsidRPr="00301AD5">
        <w:rPr>
          <w:rFonts w:asciiTheme="minorHAnsi" w:hAnsiTheme="minorHAnsi"/>
          <w:sz w:val="20"/>
          <w:szCs w:val="20"/>
        </w:rPr>
        <w:t>as a result of</w:t>
      </w:r>
      <w:proofErr w:type="gramEnd"/>
      <w:r w:rsidRPr="00301AD5">
        <w:rPr>
          <w:rFonts w:asciiTheme="minorHAnsi" w:hAnsiTheme="minorHAnsi"/>
          <w:sz w:val="20"/>
          <w:szCs w:val="20"/>
        </w:rPr>
        <w:t xml:space="preserve"> the introduction to the Client or engagement by the Client of a Candidate.  The Client is responsible for the taking up of references to determine the Candidate's qualifications, capabilities, integrity, medical history and suitability to meet the job specification.  It is also the Client's responsibility to obtain a work permit or any required Garda clearance for the Candidate where necessary.</w:t>
      </w:r>
    </w:p>
    <w:p w:rsidR="006376A0" w:rsidRDefault="006376A0" w:rsidP="006376A0">
      <w:pPr>
        <w:pStyle w:val="Level1"/>
        <w:numPr>
          <w:ilvl w:val="0"/>
          <w:numId w:val="0"/>
        </w:numPr>
        <w:spacing w:line="240" w:lineRule="auto"/>
        <w:contextualSpacing/>
        <w:rPr>
          <w:rFonts w:asciiTheme="minorHAnsi" w:hAnsiTheme="minorHAnsi"/>
          <w:sz w:val="20"/>
          <w:szCs w:val="20"/>
        </w:rPr>
      </w:pPr>
    </w:p>
    <w:p w:rsidR="006376A0" w:rsidRDefault="006376A0" w:rsidP="006376A0">
      <w:pPr>
        <w:pStyle w:val="Level1"/>
        <w:spacing w:line="240" w:lineRule="auto"/>
        <w:contextualSpacing/>
        <w:rPr>
          <w:rFonts w:asciiTheme="minorHAnsi" w:hAnsiTheme="minorHAnsi"/>
          <w:sz w:val="20"/>
          <w:szCs w:val="20"/>
        </w:rPr>
      </w:pPr>
      <w:r w:rsidRPr="00301AD5">
        <w:rPr>
          <w:rFonts w:asciiTheme="minorHAnsi" w:hAnsiTheme="minorHAnsi"/>
          <w:sz w:val="20"/>
          <w:szCs w:val="20"/>
          <w:u w:val="single"/>
        </w:rPr>
        <w:t>Client Responsibility.</w:t>
      </w:r>
      <w:r w:rsidRPr="00301AD5">
        <w:rPr>
          <w:rFonts w:asciiTheme="minorHAnsi" w:hAnsiTheme="minorHAnsi"/>
          <w:sz w:val="20"/>
          <w:szCs w:val="20"/>
        </w:rPr>
        <w:t xml:space="preserve"> Candidates supplied by the Company are deemed to be under the direction and control of the Client from the time they report to take up duties and for the duration of the assignment (where applicable). The Client agrees to be responsible for all acts, errors and omissions of the Candidate whether they be wil</w:t>
      </w:r>
      <w:r>
        <w:rPr>
          <w:rFonts w:asciiTheme="minorHAnsi" w:hAnsiTheme="minorHAnsi"/>
          <w:sz w:val="20"/>
          <w:szCs w:val="20"/>
        </w:rPr>
        <w:t>f</w:t>
      </w:r>
      <w:r w:rsidRPr="00301AD5">
        <w:rPr>
          <w:rFonts w:asciiTheme="minorHAnsi" w:hAnsiTheme="minorHAnsi"/>
          <w:sz w:val="20"/>
          <w:szCs w:val="20"/>
        </w:rPr>
        <w:t xml:space="preserve">ul, negligent or otherwise and shall indemnify and keep the Company indemnified against any losses, damages, liability, claims, costs, fines, penalties and expenses (including reasonable legal expenses) awarded against or incurred by or paid by the Company in connection with all such acts, errors and omissions.   </w:t>
      </w:r>
    </w:p>
    <w:p w:rsidR="006376A0" w:rsidRPr="00AA0B04" w:rsidRDefault="006376A0" w:rsidP="006376A0">
      <w:pPr>
        <w:pStyle w:val="Level1"/>
        <w:numPr>
          <w:ilvl w:val="0"/>
          <w:numId w:val="0"/>
        </w:numPr>
        <w:spacing w:line="240" w:lineRule="auto"/>
        <w:ind w:left="850"/>
        <w:contextualSpacing/>
        <w:rPr>
          <w:rFonts w:asciiTheme="minorHAnsi" w:hAnsiTheme="minorHAnsi"/>
          <w:sz w:val="20"/>
          <w:szCs w:val="20"/>
        </w:rPr>
      </w:pPr>
    </w:p>
    <w:p w:rsidR="006376A0" w:rsidRDefault="006376A0" w:rsidP="006376A0">
      <w:pPr>
        <w:pStyle w:val="Level1"/>
        <w:spacing w:line="240" w:lineRule="auto"/>
        <w:contextualSpacing/>
        <w:rPr>
          <w:rFonts w:asciiTheme="minorHAnsi" w:hAnsiTheme="minorHAnsi"/>
          <w:sz w:val="20"/>
          <w:szCs w:val="20"/>
        </w:rPr>
      </w:pPr>
      <w:r w:rsidRPr="00301AD5">
        <w:rPr>
          <w:rFonts w:asciiTheme="minorHAnsi" w:hAnsiTheme="minorHAnsi"/>
          <w:sz w:val="20"/>
          <w:szCs w:val="20"/>
          <w:u w:val="single"/>
        </w:rPr>
        <w:lastRenderedPageBreak/>
        <w:t>Fees.</w:t>
      </w:r>
      <w:r w:rsidRPr="00301AD5">
        <w:rPr>
          <w:rFonts w:asciiTheme="minorHAnsi" w:hAnsiTheme="minorHAnsi"/>
          <w:sz w:val="20"/>
          <w:szCs w:val="20"/>
        </w:rPr>
        <w:t xml:space="preserve"> The fee for each type of Service shall be as set out in the relevant Appendix (the </w:t>
      </w:r>
      <w:r w:rsidRPr="00301AD5">
        <w:rPr>
          <w:rFonts w:asciiTheme="minorHAnsi" w:hAnsiTheme="minorHAnsi"/>
          <w:b/>
          <w:sz w:val="20"/>
          <w:szCs w:val="20"/>
        </w:rPr>
        <w:t>Service Fee</w:t>
      </w:r>
      <w:r w:rsidRPr="00301AD5">
        <w:rPr>
          <w:rFonts w:asciiTheme="minorHAnsi" w:hAnsiTheme="minorHAnsi"/>
          <w:sz w:val="20"/>
          <w:szCs w:val="20"/>
        </w:rPr>
        <w:t xml:space="preserve">).  The Service Fee is exclusive of VAT which shall be payable by the Client subject to receipt of a VAT invoice from the Company.  Payment is due thirty (30) days from the date of the invoice.  Failure to provide the Company with any of the relevant documentation, including but not limited to New Client Form or a valid purchase order at the time of procurement does not constitute a valid reason for delay in payment.  An additional interest charge in line with the ECB daily rate will be imposed on the total value of invoices remaining unpaid at the end of each month.  </w:t>
      </w:r>
    </w:p>
    <w:p w:rsidR="006376A0" w:rsidRPr="00AA0B04" w:rsidRDefault="006376A0" w:rsidP="006376A0">
      <w:pPr>
        <w:pStyle w:val="Level1"/>
        <w:numPr>
          <w:ilvl w:val="0"/>
          <w:numId w:val="0"/>
        </w:numPr>
        <w:spacing w:line="240" w:lineRule="auto"/>
        <w:ind w:left="850"/>
        <w:contextualSpacing/>
        <w:rPr>
          <w:rFonts w:asciiTheme="minorHAnsi" w:hAnsiTheme="minorHAnsi"/>
          <w:sz w:val="20"/>
          <w:szCs w:val="20"/>
        </w:rPr>
      </w:pPr>
    </w:p>
    <w:p w:rsidR="006376A0" w:rsidRDefault="006376A0" w:rsidP="006376A0">
      <w:pPr>
        <w:pStyle w:val="Level1"/>
        <w:spacing w:line="240" w:lineRule="auto"/>
        <w:contextualSpacing/>
        <w:rPr>
          <w:rFonts w:asciiTheme="minorHAnsi" w:hAnsiTheme="minorHAnsi"/>
          <w:sz w:val="20"/>
          <w:szCs w:val="20"/>
        </w:rPr>
      </w:pPr>
      <w:r w:rsidRPr="00301AD5">
        <w:rPr>
          <w:rFonts w:asciiTheme="minorHAnsi" w:hAnsiTheme="minorHAnsi"/>
          <w:sz w:val="20"/>
          <w:szCs w:val="20"/>
          <w:u w:val="single"/>
        </w:rPr>
        <w:t>Limitation of Liability.</w:t>
      </w:r>
      <w:r w:rsidRPr="00301AD5">
        <w:rPr>
          <w:rFonts w:asciiTheme="minorHAnsi" w:hAnsiTheme="minorHAnsi"/>
          <w:sz w:val="20"/>
          <w:szCs w:val="20"/>
        </w:rPr>
        <w:t xml:space="preserve"> The Company’s total liability in contract, tort (including negligence or breach of statutory duty), misrepresentation, restitution or otherwise arising in connection with the performance or contemplated performance of this Agreement and the provision of the Services shall not under any circumstance exceed the amount of the Service Fee paid by the Client to the Company in the twelve-month period preceding the incident giving rise to the liability. Neither party shall in any event be liable for any special, indirect, consequential or economic loss (including loss of profits).</w:t>
      </w:r>
    </w:p>
    <w:p w:rsidR="006376A0" w:rsidRPr="00AA0B04" w:rsidRDefault="006376A0" w:rsidP="006376A0">
      <w:pPr>
        <w:pStyle w:val="Level1"/>
        <w:numPr>
          <w:ilvl w:val="0"/>
          <w:numId w:val="0"/>
        </w:numPr>
        <w:spacing w:line="240" w:lineRule="auto"/>
        <w:ind w:left="850"/>
        <w:contextualSpacing/>
        <w:rPr>
          <w:rFonts w:asciiTheme="minorHAnsi" w:hAnsiTheme="minorHAnsi"/>
          <w:sz w:val="20"/>
          <w:szCs w:val="20"/>
        </w:rPr>
      </w:pPr>
    </w:p>
    <w:p w:rsidR="006376A0" w:rsidRPr="00301AD5" w:rsidRDefault="006376A0" w:rsidP="006376A0">
      <w:pPr>
        <w:pStyle w:val="Level1"/>
        <w:spacing w:line="240" w:lineRule="auto"/>
        <w:contextualSpacing/>
        <w:rPr>
          <w:rFonts w:asciiTheme="minorHAnsi" w:hAnsiTheme="minorHAnsi"/>
          <w:sz w:val="20"/>
          <w:szCs w:val="20"/>
        </w:rPr>
      </w:pPr>
      <w:r w:rsidRPr="00301AD5">
        <w:rPr>
          <w:rFonts w:asciiTheme="minorHAnsi" w:hAnsiTheme="minorHAnsi"/>
          <w:sz w:val="20"/>
          <w:szCs w:val="20"/>
          <w:u w:val="single"/>
        </w:rPr>
        <w:t>Indemnity</w:t>
      </w:r>
      <w:r w:rsidRPr="00301AD5">
        <w:rPr>
          <w:rFonts w:asciiTheme="minorHAnsi" w:hAnsiTheme="minorHAnsi"/>
          <w:sz w:val="20"/>
          <w:szCs w:val="20"/>
        </w:rPr>
        <w:t xml:space="preserve">. The Client shall indemnify (and keep indemnified) the Company against all losses, damages, liability, claims, costs, fines, penalties and expenses (including reasonable legal expenses together with VAT thereon) awarded against or incurred or paid by the Company (to or in respect of Candidates or otherwise) as result of or in connection with: </w:t>
      </w:r>
    </w:p>
    <w:p w:rsidR="006376A0" w:rsidRPr="00301AD5" w:rsidRDefault="006376A0" w:rsidP="006376A0">
      <w:pPr>
        <w:pStyle w:val="Level4"/>
        <w:spacing w:line="240" w:lineRule="auto"/>
        <w:contextualSpacing/>
        <w:rPr>
          <w:rFonts w:asciiTheme="minorHAnsi" w:hAnsiTheme="minorHAnsi"/>
          <w:sz w:val="20"/>
          <w:szCs w:val="20"/>
        </w:rPr>
      </w:pPr>
      <w:r w:rsidRPr="00301AD5">
        <w:rPr>
          <w:rFonts w:asciiTheme="minorHAnsi" w:hAnsiTheme="minorHAnsi"/>
          <w:sz w:val="20"/>
          <w:szCs w:val="20"/>
        </w:rPr>
        <w:t>any negligent act or omission, fraud or fraudulent misstatement or wilful misconduct, of the Client, its employees or officers;</w:t>
      </w:r>
    </w:p>
    <w:p w:rsidR="006376A0" w:rsidRPr="00301AD5" w:rsidRDefault="006376A0" w:rsidP="006376A0">
      <w:pPr>
        <w:pStyle w:val="Level4"/>
        <w:spacing w:line="240" w:lineRule="auto"/>
        <w:contextualSpacing/>
        <w:rPr>
          <w:rFonts w:asciiTheme="minorHAnsi" w:hAnsiTheme="minorHAnsi"/>
          <w:sz w:val="20"/>
          <w:szCs w:val="20"/>
        </w:rPr>
      </w:pPr>
      <w:r w:rsidRPr="00301AD5">
        <w:rPr>
          <w:rFonts w:asciiTheme="minorHAnsi" w:hAnsiTheme="minorHAnsi"/>
          <w:sz w:val="20"/>
          <w:szCs w:val="20"/>
        </w:rPr>
        <w:t>the Client’s products or services;</w:t>
      </w:r>
    </w:p>
    <w:p w:rsidR="006376A0" w:rsidRPr="00301AD5" w:rsidRDefault="006376A0" w:rsidP="006376A0">
      <w:pPr>
        <w:pStyle w:val="Level4"/>
        <w:spacing w:line="240" w:lineRule="auto"/>
        <w:contextualSpacing/>
        <w:rPr>
          <w:rFonts w:asciiTheme="minorHAnsi" w:hAnsiTheme="minorHAnsi"/>
          <w:sz w:val="20"/>
          <w:szCs w:val="20"/>
        </w:rPr>
      </w:pPr>
      <w:r w:rsidRPr="00301AD5">
        <w:rPr>
          <w:rFonts w:asciiTheme="minorHAnsi" w:hAnsiTheme="minorHAnsi"/>
          <w:sz w:val="20"/>
          <w:szCs w:val="20"/>
        </w:rPr>
        <w:t>the Client's breach of any term or provision of this Agreement; and/or</w:t>
      </w:r>
    </w:p>
    <w:p w:rsidR="006376A0" w:rsidRDefault="006376A0" w:rsidP="006376A0">
      <w:pPr>
        <w:pStyle w:val="Level4"/>
        <w:spacing w:line="240" w:lineRule="auto"/>
        <w:contextualSpacing/>
        <w:rPr>
          <w:rFonts w:asciiTheme="minorHAnsi" w:hAnsiTheme="minorHAnsi"/>
          <w:sz w:val="20"/>
          <w:szCs w:val="20"/>
        </w:rPr>
      </w:pPr>
      <w:r w:rsidRPr="00301AD5">
        <w:rPr>
          <w:rFonts w:asciiTheme="minorHAnsi" w:hAnsiTheme="minorHAnsi"/>
          <w:sz w:val="20"/>
          <w:szCs w:val="20"/>
        </w:rPr>
        <w:t>Client's breach of statutory obligations.</w:t>
      </w:r>
    </w:p>
    <w:p w:rsidR="006376A0" w:rsidRPr="006376A0" w:rsidRDefault="006376A0" w:rsidP="00A44B95">
      <w:pPr>
        <w:pStyle w:val="Level1"/>
        <w:numPr>
          <w:ilvl w:val="0"/>
          <w:numId w:val="0"/>
        </w:numPr>
        <w:spacing w:line="240" w:lineRule="auto"/>
        <w:contextualSpacing/>
        <w:rPr>
          <w:rFonts w:asciiTheme="minorHAnsi" w:hAnsiTheme="minorHAnsi"/>
          <w:sz w:val="20"/>
          <w:szCs w:val="20"/>
        </w:rPr>
      </w:pPr>
    </w:p>
    <w:p w:rsidR="006376A0" w:rsidRDefault="006376A0" w:rsidP="006376A0">
      <w:pPr>
        <w:pStyle w:val="Level1"/>
        <w:spacing w:line="240" w:lineRule="auto"/>
        <w:contextualSpacing/>
        <w:rPr>
          <w:rFonts w:asciiTheme="minorHAnsi" w:hAnsiTheme="minorHAnsi"/>
          <w:sz w:val="20"/>
          <w:szCs w:val="20"/>
        </w:rPr>
      </w:pPr>
      <w:r w:rsidRPr="00301AD5">
        <w:rPr>
          <w:rFonts w:asciiTheme="minorHAnsi" w:hAnsiTheme="minorHAnsi"/>
          <w:sz w:val="20"/>
          <w:szCs w:val="20"/>
          <w:u w:val="single"/>
        </w:rPr>
        <w:t>Non-Solicitation.</w:t>
      </w:r>
      <w:r w:rsidRPr="00301AD5">
        <w:rPr>
          <w:rFonts w:asciiTheme="minorHAnsi" w:hAnsiTheme="minorHAnsi"/>
          <w:sz w:val="20"/>
          <w:szCs w:val="20"/>
        </w:rPr>
        <w:t xml:space="preserve"> The Client agrees that for the duration of this Agreement and for a period of twelve months thereafter it shall not solicit or endeavour to solicit or entice away any permanent employee of the Company.</w:t>
      </w:r>
    </w:p>
    <w:p w:rsidR="006376A0" w:rsidRDefault="006376A0" w:rsidP="006376A0">
      <w:pPr>
        <w:pStyle w:val="Level1"/>
        <w:numPr>
          <w:ilvl w:val="0"/>
          <w:numId w:val="0"/>
        </w:numPr>
        <w:spacing w:line="240" w:lineRule="auto"/>
        <w:ind w:left="850"/>
        <w:contextualSpacing/>
        <w:rPr>
          <w:rFonts w:asciiTheme="minorHAnsi" w:hAnsiTheme="minorHAnsi"/>
          <w:sz w:val="20"/>
          <w:szCs w:val="20"/>
        </w:rPr>
      </w:pPr>
    </w:p>
    <w:p w:rsidR="006376A0" w:rsidRDefault="006376A0" w:rsidP="006376A0">
      <w:pPr>
        <w:pStyle w:val="Level1"/>
        <w:spacing w:line="240" w:lineRule="auto"/>
        <w:contextualSpacing/>
        <w:rPr>
          <w:rFonts w:asciiTheme="minorHAnsi" w:hAnsiTheme="minorHAnsi"/>
          <w:sz w:val="20"/>
          <w:szCs w:val="20"/>
        </w:rPr>
      </w:pPr>
      <w:r w:rsidRPr="00E947ED">
        <w:rPr>
          <w:rFonts w:asciiTheme="minorHAnsi" w:hAnsiTheme="minorHAnsi"/>
          <w:sz w:val="20"/>
          <w:szCs w:val="20"/>
          <w:u w:val="single"/>
        </w:rPr>
        <w:t>Termination.</w:t>
      </w:r>
      <w:r w:rsidRPr="00301AD5">
        <w:rPr>
          <w:rFonts w:asciiTheme="minorHAnsi" w:hAnsiTheme="minorHAnsi"/>
          <w:sz w:val="20"/>
          <w:szCs w:val="20"/>
        </w:rPr>
        <w:t xml:space="preserve"> The Company reserves the right, without notice or reason, to refuse to supply or continue to supply personnel or services (without prejudice to any separate contract or agreement), without liability for any loss or damages whatsoever, either directly or indirectly sustained by such action and without prejudice to any payments due or claim for costs or fees in respect of services already provided by the Company.  Termination or expiry of the arrangement as agreed between the parties will not affect the rights or liabilities accrued by the Company or the Client prior to termination or expiry or any terms intended or expressly stated to survive such termination or expiry (including, for the avoidance of doubt sections 4, 6, 7, 8, 9, 11 and the indemnity provisions in each Appendix).</w:t>
      </w:r>
    </w:p>
    <w:p w:rsidR="006376A0" w:rsidRDefault="006376A0" w:rsidP="006376A0">
      <w:pPr>
        <w:pStyle w:val="Level1"/>
        <w:numPr>
          <w:ilvl w:val="0"/>
          <w:numId w:val="0"/>
        </w:numPr>
        <w:spacing w:line="240" w:lineRule="auto"/>
        <w:ind w:left="850"/>
        <w:contextualSpacing/>
        <w:rPr>
          <w:rFonts w:asciiTheme="minorHAnsi" w:hAnsiTheme="minorHAnsi"/>
          <w:sz w:val="20"/>
          <w:szCs w:val="20"/>
        </w:rPr>
      </w:pPr>
    </w:p>
    <w:p w:rsidR="006376A0" w:rsidRDefault="006376A0" w:rsidP="006376A0">
      <w:pPr>
        <w:pStyle w:val="Level1"/>
        <w:spacing w:line="240" w:lineRule="auto"/>
        <w:contextualSpacing/>
        <w:rPr>
          <w:rFonts w:asciiTheme="minorHAnsi" w:hAnsiTheme="minorHAnsi"/>
          <w:sz w:val="20"/>
          <w:szCs w:val="20"/>
        </w:rPr>
      </w:pPr>
      <w:r w:rsidRPr="00301AD5">
        <w:rPr>
          <w:rFonts w:asciiTheme="minorHAnsi" w:hAnsiTheme="minorHAnsi"/>
          <w:sz w:val="20"/>
          <w:szCs w:val="20"/>
        </w:rPr>
        <w:t>The terms of this Agreement supersede and replace all previous notification of terms and conditions.</w:t>
      </w:r>
    </w:p>
    <w:p w:rsidR="006376A0" w:rsidRDefault="006376A0" w:rsidP="006376A0">
      <w:pPr>
        <w:pStyle w:val="Level1"/>
        <w:numPr>
          <w:ilvl w:val="0"/>
          <w:numId w:val="0"/>
        </w:numPr>
        <w:spacing w:line="240" w:lineRule="auto"/>
        <w:contextualSpacing/>
        <w:rPr>
          <w:rFonts w:asciiTheme="minorHAnsi" w:hAnsiTheme="minorHAnsi" w:cs="Arial"/>
          <w:color w:val="000000"/>
          <w:sz w:val="20"/>
          <w:szCs w:val="20"/>
          <w:shd w:val="clear" w:color="auto" w:fill="FFFFFF"/>
        </w:rPr>
      </w:pPr>
    </w:p>
    <w:p w:rsidR="006376A0" w:rsidRPr="00A44B95" w:rsidRDefault="006376A0" w:rsidP="00A44B95">
      <w:pPr>
        <w:pStyle w:val="Level1"/>
        <w:numPr>
          <w:ilvl w:val="0"/>
          <w:numId w:val="0"/>
        </w:numPr>
        <w:spacing w:line="240" w:lineRule="auto"/>
        <w:contextualSpacing/>
        <w:rPr>
          <w:rFonts w:asciiTheme="minorHAnsi" w:hAnsiTheme="minorHAnsi"/>
          <w:color w:val="000000"/>
          <w:sz w:val="20"/>
          <w:szCs w:val="20"/>
          <w:lang w:val="en-US"/>
        </w:rPr>
      </w:pPr>
      <w:r w:rsidRPr="00301AD5">
        <w:rPr>
          <w:rFonts w:asciiTheme="minorHAnsi" w:hAnsiTheme="minorHAnsi" w:cs="Arial"/>
          <w:color w:val="000000"/>
          <w:sz w:val="20"/>
          <w:szCs w:val="20"/>
          <w:shd w:val="clear" w:color="auto" w:fill="FFFFFF"/>
        </w:rPr>
        <w:t xml:space="preserve">The individual signing below hereby represents and warrants that s/he is duly authorised to execute and deliver this Agreement on behalf of the Client </w:t>
      </w:r>
      <w:r w:rsidRPr="00301AD5">
        <w:rPr>
          <w:rFonts w:asciiTheme="minorHAnsi" w:hAnsiTheme="minorHAnsi"/>
          <w:sz w:val="20"/>
          <w:szCs w:val="20"/>
        </w:rPr>
        <w:t>having read and agreed to abide by the terms and conditions as set out in this Agreement and relevant Appendices.</w:t>
      </w:r>
    </w:p>
    <w:p w:rsidR="006376A0" w:rsidRPr="00301AD5" w:rsidRDefault="006376A0" w:rsidP="006376A0">
      <w:pPr>
        <w:autoSpaceDE w:val="0"/>
        <w:autoSpaceDN w:val="0"/>
        <w:adjustRightInd w:val="0"/>
        <w:spacing w:after="0" w:line="240" w:lineRule="auto"/>
        <w:contextualSpacing/>
        <w:jc w:val="both"/>
        <w:textAlignment w:val="center"/>
        <w:rPr>
          <w:rFonts w:cs="Calibri"/>
          <w:color w:val="000000"/>
          <w:sz w:val="20"/>
          <w:szCs w:val="20"/>
          <w:lang w:val="en-US"/>
        </w:rPr>
      </w:pPr>
      <w:r w:rsidRPr="00301AD5">
        <w:rPr>
          <w:rFonts w:cs="Calibri"/>
          <w:color w:val="000000"/>
          <w:sz w:val="20"/>
          <w:szCs w:val="20"/>
          <w:lang w:val="en-US"/>
        </w:rPr>
        <w:t xml:space="preserve">Signed: </w:t>
      </w:r>
    </w:p>
    <w:p w:rsidR="006376A0" w:rsidRPr="00301AD5" w:rsidRDefault="006376A0" w:rsidP="006376A0">
      <w:pPr>
        <w:autoSpaceDE w:val="0"/>
        <w:autoSpaceDN w:val="0"/>
        <w:adjustRightInd w:val="0"/>
        <w:spacing w:after="0" w:line="240" w:lineRule="auto"/>
        <w:contextualSpacing/>
        <w:jc w:val="both"/>
        <w:textAlignment w:val="center"/>
        <w:rPr>
          <w:rFonts w:cs="Calibri"/>
          <w:color w:val="000000"/>
          <w:sz w:val="20"/>
          <w:szCs w:val="20"/>
          <w:lang w:val="en-US"/>
        </w:rPr>
      </w:pPr>
    </w:p>
    <w:p w:rsidR="006376A0" w:rsidRPr="00301AD5" w:rsidRDefault="006376A0" w:rsidP="006376A0">
      <w:pPr>
        <w:autoSpaceDE w:val="0"/>
        <w:autoSpaceDN w:val="0"/>
        <w:adjustRightInd w:val="0"/>
        <w:spacing w:after="0" w:line="240" w:lineRule="auto"/>
        <w:contextualSpacing/>
        <w:jc w:val="both"/>
        <w:textAlignment w:val="center"/>
        <w:rPr>
          <w:rFonts w:cs="Calibri"/>
          <w:color w:val="000000"/>
          <w:sz w:val="20"/>
          <w:szCs w:val="20"/>
          <w:lang w:val="en-US"/>
        </w:rPr>
      </w:pPr>
      <w:r w:rsidRPr="00301AD5">
        <w:rPr>
          <w:rFonts w:cs="Calibri"/>
          <w:color w:val="000000"/>
          <w:sz w:val="20"/>
          <w:szCs w:val="20"/>
          <w:lang w:val="en-US"/>
        </w:rPr>
        <w:t xml:space="preserve">Print Name:   </w:t>
      </w:r>
      <w:sdt>
        <w:sdtPr>
          <w:rPr>
            <w:rFonts w:cs="Calibri"/>
            <w:color w:val="000000"/>
            <w:sz w:val="20"/>
            <w:szCs w:val="20"/>
            <w:lang w:val="en-US"/>
          </w:rPr>
          <w:id w:val="-115371243"/>
          <w:placeholder>
            <w:docPart w:val="82EC142108CD4D1280B8A181CF22F969"/>
          </w:placeholder>
        </w:sdtPr>
        <w:sdtEndPr/>
        <w:sdtContent>
          <w:r w:rsidRPr="00301AD5">
            <w:rPr>
              <w:rFonts w:cs="Calibri"/>
              <w:color w:val="000000"/>
              <w:sz w:val="20"/>
              <w:szCs w:val="20"/>
              <w:lang w:val="en-US"/>
            </w:rPr>
            <w:t xml:space="preserve">                                                                            </w:t>
          </w:r>
        </w:sdtContent>
      </w:sdt>
      <w:r w:rsidRPr="00301AD5">
        <w:rPr>
          <w:rFonts w:cs="Calibri"/>
          <w:color w:val="000000"/>
          <w:sz w:val="20"/>
          <w:szCs w:val="20"/>
          <w:lang w:val="en-US"/>
        </w:rPr>
        <w:t xml:space="preserve">                        </w:t>
      </w:r>
    </w:p>
    <w:p w:rsidR="006376A0" w:rsidRPr="00301AD5" w:rsidRDefault="006376A0" w:rsidP="006376A0">
      <w:pPr>
        <w:autoSpaceDE w:val="0"/>
        <w:autoSpaceDN w:val="0"/>
        <w:adjustRightInd w:val="0"/>
        <w:spacing w:after="0" w:line="240" w:lineRule="auto"/>
        <w:contextualSpacing/>
        <w:jc w:val="both"/>
        <w:textAlignment w:val="center"/>
        <w:rPr>
          <w:rFonts w:cs="Calibri"/>
          <w:color w:val="000000"/>
          <w:sz w:val="20"/>
          <w:szCs w:val="20"/>
          <w:lang w:val="en-US"/>
        </w:rPr>
      </w:pPr>
    </w:p>
    <w:p w:rsidR="006376A0" w:rsidRPr="00301AD5" w:rsidRDefault="006376A0" w:rsidP="006376A0">
      <w:pPr>
        <w:autoSpaceDE w:val="0"/>
        <w:autoSpaceDN w:val="0"/>
        <w:adjustRightInd w:val="0"/>
        <w:spacing w:after="0" w:line="240" w:lineRule="auto"/>
        <w:contextualSpacing/>
        <w:jc w:val="both"/>
        <w:textAlignment w:val="center"/>
        <w:rPr>
          <w:rFonts w:cs="Calibri"/>
          <w:color w:val="000000"/>
          <w:sz w:val="20"/>
          <w:szCs w:val="20"/>
          <w:lang w:val="en-US"/>
        </w:rPr>
      </w:pPr>
      <w:r w:rsidRPr="00301AD5">
        <w:rPr>
          <w:rFonts w:cs="Calibri"/>
          <w:color w:val="000000"/>
          <w:sz w:val="20"/>
          <w:szCs w:val="20"/>
          <w:lang w:val="en-US"/>
        </w:rPr>
        <w:t xml:space="preserve">Company Position: </w:t>
      </w:r>
      <w:sdt>
        <w:sdtPr>
          <w:rPr>
            <w:rFonts w:cs="Calibri"/>
            <w:color w:val="000000"/>
            <w:sz w:val="20"/>
            <w:szCs w:val="20"/>
            <w:lang w:val="en-US"/>
          </w:rPr>
          <w:id w:val="404890892"/>
          <w:placeholder>
            <w:docPart w:val="82EC142108CD4D1280B8A181CF22F969"/>
          </w:placeholder>
        </w:sdtPr>
        <w:sdtEndPr/>
        <w:sdtContent>
          <w:r w:rsidRPr="00301AD5">
            <w:rPr>
              <w:rFonts w:cs="Calibri"/>
              <w:color w:val="000000"/>
              <w:sz w:val="20"/>
              <w:szCs w:val="20"/>
              <w:lang w:val="en-US"/>
            </w:rPr>
            <w:t xml:space="preserve">                                                                   </w:t>
          </w:r>
        </w:sdtContent>
      </w:sdt>
      <w:r w:rsidRPr="00301AD5">
        <w:rPr>
          <w:rFonts w:cs="Calibri"/>
          <w:color w:val="000000"/>
          <w:sz w:val="20"/>
          <w:szCs w:val="20"/>
          <w:lang w:val="en-US"/>
        </w:rPr>
        <w:t xml:space="preserve">              </w:t>
      </w:r>
    </w:p>
    <w:p w:rsidR="006376A0" w:rsidRPr="00301AD5" w:rsidRDefault="006376A0" w:rsidP="006376A0">
      <w:pPr>
        <w:autoSpaceDE w:val="0"/>
        <w:autoSpaceDN w:val="0"/>
        <w:adjustRightInd w:val="0"/>
        <w:spacing w:after="0" w:line="240" w:lineRule="auto"/>
        <w:contextualSpacing/>
        <w:jc w:val="both"/>
        <w:textAlignment w:val="center"/>
        <w:rPr>
          <w:rFonts w:cs="Calibri"/>
          <w:color w:val="000000"/>
          <w:sz w:val="20"/>
          <w:szCs w:val="20"/>
          <w:lang w:val="en-US"/>
        </w:rPr>
      </w:pPr>
    </w:p>
    <w:p w:rsidR="006376A0" w:rsidRPr="00301AD5" w:rsidRDefault="006376A0" w:rsidP="006376A0">
      <w:pPr>
        <w:autoSpaceDE w:val="0"/>
        <w:autoSpaceDN w:val="0"/>
        <w:adjustRightInd w:val="0"/>
        <w:spacing w:after="0" w:line="240" w:lineRule="auto"/>
        <w:contextualSpacing/>
        <w:jc w:val="both"/>
        <w:textAlignment w:val="center"/>
        <w:rPr>
          <w:rFonts w:cs="Calibri"/>
          <w:color w:val="000000"/>
          <w:sz w:val="20"/>
          <w:szCs w:val="20"/>
          <w:lang w:val="en-US"/>
        </w:rPr>
      </w:pPr>
      <w:r w:rsidRPr="00301AD5">
        <w:rPr>
          <w:rFonts w:cs="Calibri"/>
          <w:color w:val="000000"/>
          <w:sz w:val="20"/>
          <w:szCs w:val="20"/>
          <w:lang w:val="en-US"/>
        </w:rPr>
        <w:t>Company Name:</w:t>
      </w:r>
      <w:r w:rsidRPr="00301AD5">
        <w:rPr>
          <w:rFonts w:cs="Calibri"/>
          <w:color w:val="000000"/>
          <w:sz w:val="20"/>
          <w:szCs w:val="20"/>
          <w:lang w:val="en-US"/>
        </w:rPr>
        <w:tab/>
      </w:r>
      <w:sdt>
        <w:sdtPr>
          <w:rPr>
            <w:rFonts w:cs="Calibri"/>
            <w:color w:val="000000"/>
            <w:sz w:val="20"/>
            <w:szCs w:val="20"/>
            <w:lang w:val="en-US"/>
          </w:rPr>
          <w:id w:val="2089889648"/>
          <w:placeholder>
            <w:docPart w:val="82EC142108CD4D1280B8A181CF22F969"/>
          </w:placeholder>
        </w:sdtPr>
        <w:sdtEndPr/>
        <w:sdtContent>
          <w:r w:rsidRPr="00301AD5">
            <w:rPr>
              <w:rFonts w:cs="Calibri"/>
              <w:color w:val="000000"/>
              <w:sz w:val="20"/>
              <w:szCs w:val="20"/>
              <w:lang w:val="en-US"/>
            </w:rPr>
            <w:t xml:space="preserve">                                                                         </w:t>
          </w:r>
        </w:sdtContent>
      </w:sdt>
      <w:r w:rsidRPr="00301AD5">
        <w:rPr>
          <w:rFonts w:cs="Calibri"/>
          <w:color w:val="000000"/>
          <w:sz w:val="20"/>
          <w:szCs w:val="20"/>
          <w:lang w:val="en-US"/>
        </w:rPr>
        <w:tab/>
        <w:t xml:space="preserve">              </w:t>
      </w:r>
    </w:p>
    <w:p w:rsidR="006376A0" w:rsidRPr="00301AD5" w:rsidRDefault="006376A0" w:rsidP="006376A0">
      <w:pPr>
        <w:autoSpaceDE w:val="0"/>
        <w:autoSpaceDN w:val="0"/>
        <w:adjustRightInd w:val="0"/>
        <w:spacing w:after="0" w:line="240" w:lineRule="auto"/>
        <w:contextualSpacing/>
        <w:jc w:val="both"/>
        <w:textAlignment w:val="center"/>
        <w:rPr>
          <w:rFonts w:cs="Calibri"/>
          <w:color w:val="000000"/>
          <w:sz w:val="20"/>
          <w:szCs w:val="20"/>
          <w:lang w:val="en-US"/>
        </w:rPr>
      </w:pPr>
    </w:p>
    <w:p w:rsidR="00CB6814" w:rsidRPr="00A44B95" w:rsidRDefault="006376A0" w:rsidP="00A44B95">
      <w:pPr>
        <w:autoSpaceDE w:val="0"/>
        <w:autoSpaceDN w:val="0"/>
        <w:adjustRightInd w:val="0"/>
        <w:spacing w:after="0" w:line="240" w:lineRule="auto"/>
        <w:contextualSpacing/>
        <w:jc w:val="both"/>
        <w:textAlignment w:val="center"/>
        <w:rPr>
          <w:rFonts w:cs="Calibri"/>
          <w:color w:val="000000"/>
          <w:sz w:val="20"/>
          <w:szCs w:val="20"/>
          <w:lang w:val="en-US"/>
        </w:rPr>
      </w:pPr>
      <w:r w:rsidRPr="00301AD5">
        <w:rPr>
          <w:rFonts w:cs="Calibri"/>
          <w:color w:val="000000"/>
          <w:sz w:val="20"/>
          <w:szCs w:val="20"/>
          <w:lang w:val="en-US"/>
        </w:rPr>
        <w:t xml:space="preserve">Trading Name:    </w:t>
      </w:r>
      <w:sdt>
        <w:sdtPr>
          <w:rPr>
            <w:rFonts w:cs="Calibri"/>
            <w:color w:val="000000"/>
            <w:sz w:val="20"/>
            <w:szCs w:val="20"/>
            <w:lang w:val="en-US"/>
          </w:rPr>
          <w:id w:val="556755037"/>
          <w:placeholder>
            <w:docPart w:val="82EC142108CD4D1280B8A181CF22F969"/>
          </w:placeholder>
        </w:sdtPr>
        <w:sdtEndPr/>
        <w:sdtContent>
          <w:r w:rsidRPr="00301AD5">
            <w:rPr>
              <w:rFonts w:cs="Calibri"/>
              <w:color w:val="000000"/>
              <w:sz w:val="20"/>
              <w:szCs w:val="20"/>
              <w:lang w:val="en-US"/>
            </w:rPr>
            <w:t xml:space="preserve">                                                                        </w:t>
          </w:r>
        </w:sdtContent>
      </w:sdt>
      <w:r w:rsidR="00A44B95">
        <w:rPr>
          <w:rFonts w:cs="Calibri"/>
          <w:color w:val="000000"/>
          <w:sz w:val="20"/>
          <w:szCs w:val="20"/>
          <w:lang w:val="en-US"/>
        </w:rPr>
        <w:t xml:space="preserve">                </w:t>
      </w:r>
    </w:p>
    <w:p w:rsidR="00CB6814" w:rsidRDefault="00CB6814" w:rsidP="006376A0">
      <w:pPr>
        <w:spacing w:line="240" w:lineRule="auto"/>
        <w:contextualSpacing/>
      </w:pPr>
    </w:p>
    <w:p w:rsidR="00CB6814" w:rsidRDefault="00CB6814" w:rsidP="00CB6814">
      <w:pPr>
        <w:spacing w:line="240" w:lineRule="auto"/>
        <w:contextualSpacing/>
      </w:pPr>
    </w:p>
    <w:p w:rsidR="00CB6814" w:rsidRPr="00CB6814" w:rsidRDefault="00CB6814" w:rsidP="00CB6814">
      <w:pPr>
        <w:spacing w:line="240" w:lineRule="auto"/>
        <w:contextualSpacing/>
        <w:jc w:val="center"/>
        <w:rPr>
          <w:b/>
          <w:sz w:val="20"/>
          <w:szCs w:val="20"/>
          <w:u w:val="single"/>
        </w:rPr>
      </w:pPr>
      <w:r w:rsidRPr="00301AD5">
        <w:rPr>
          <w:b/>
          <w:sz w:val="20"/>
          <w:szCs w:val="20"/>
          <w:u w:val="single"/>
        </w:rPr>
        <w:lastRenderedPageBreak/>
        <w:t>APPENDIX A - PERMANENT STAFF</w:t>
      </w:r>
    </w:p>
    <w:p w:rsidR="00CB6814" w:rsidRPr="00301AD5" w:rsidRDefault="00CB6814" w:rsidP="00CB6814">
      <w:pPr>
        <w:pStyle w:val="Level1"/>
        <w:numPr>
          <w:ilvl w:val="0"/>
          <w:numId w:val="2"/>
        </w:numPr>
        <w:tabs>
          <w:tab w:val="clear" w:pos="850"/>
          <w:tab w:val="num" w:pos="709"/>
        </w:tabs>
        <w:spacing w:line="240" w:lineRule="auto"/>
        <w:ind w:left="709" w:hanging="709"/>
        <w:contextualSpacing/>
        <w:rPr>
          <w:rFonts w:asciiTheme="minorHAnsi" w:hAnsiTheme="minorHAnsi"/>
          <w:sz w:val="20"/>
          <w:szCs w:val="20"/>
        </w:rPr>
      </w:pPr>
      <w:proofErr w:type="gramStart"/>
      <w:r w:rsidRPr="00301AD5">
        <w:rPr>
          <w:rFonts w:asciiTheme="minorHAnsi" w:hAnsiTheme="minorHAnsi"/>
          <w:sz w:val="20"/>
          <w:szCs w:val="20"/>
        </w:rPr>
        <w:t>For the purpose of</w:t>
      </w:r>
      <w:proofErr w:type="gramEnd"/>
      <w:r w:rsidRPr="00301AD5">
        <w:rPr>
          <w:rFonts w:asciiTheme="minorHAnsi" w:hAnsiTheme="minorHAnsi"/>
          <w:sz w:val="20"/>
          <w:szCs w:val="20"/>
        </w:rPr>
        <w:t xml:space="preserve"> these Appendices the following terms shall be defined as follows. '</w:t>
      </w:r>
      <w:r w:rsidRPr="00301AD5">
        <w:rPr>
          <w:rFonts w:asciiTheme="minorHAnsi" w:hAnsiTheme="minorHAnsi"/>
          <w:b/>
          <w:sz w:val="20"/>
          <w:szCs w:val="20"/>
        </w:rPr>
        <w:t>Permanent Appointment</w:t>
      </w:r>
      <w:r w:rsidRPr="00301AD5">
        <w:rPr>
          <w:rFonts w:asciiTheme="minorHAnsi" w:hAnsiTheme="minorHAnsi"/>
          <w:sz w:val="20"/>
          <w:szCs w:val="20"/>
        </w:rPr>
        <w:t>' shall mean Candidates introduced to the Client by the Company and engaged for employment by the Client or any other business, firm or company on a permanent basis and who shall be paid by the Client. ‘</w:t>
      </w:r>
      <w:r w:rsidRPr="00301AD5">
        <w:rPr>
          <w:rFonts w:asciiTheme="minorHAnsi" w:hAnsiTheme="minorHAnsi"/>
          <w:b/>
          <w:sz w:val="20"/>
          <w:szCs w:val="20"/>
        </w:rPr>
        <w:t>Introduction</w:t>
      </w:r>
      <w:r w:rsidRPr="00301AD5">
        <w:rPr>
          <w:rFonts w:asciiTheme="minorHAnsi" w:hAnsiTheme="minorHAnsi"/>
          <w:sz w:val="20"/>
          <w:szCs w:val="20"/>
        </w:rPr>
        <w:t xml:space="preserve">’ means the presentation of the Candidate’s details by the Company to the Client </w:t>
      </w:r>
      <w:proofErr w:type="gramStart"/>
      <w:r w:rsidRPr="00301AD5">
        <w:rPr>
          <w:rFonts w:asciiTheme="minorHAnsi" w:hAnsiTheme="minorHAnsi"/>
          <w:sz w:val="20"/>
          <w:szCs w:val="20"/>
        </w:rPr>
        <w:t>whether or not</w:t>
      </w:r>
      <w:proofErr w:type="gramEnd"/>
      <w:r w:rsidRPr="00301AD5">
        <w:rPr>
          <w:rFonts w:asciiTheme="minorHAnsi" w:hAnsiTheme="minorHAnsi"/>
          <w:sz w:val="20"/>
          <w:szCs w:val="20"/>
        </w:rPr>
        <w:t xml:space="preserve"> the Client knew about such a Candidate previously.  '</w:t>
      </w:r>
      <w:r w:rsidRPr="00301AD5">
        <w:rPr>
          <w:rFonts w:asciiTheme="minorHAnsi" w:hAnsiTheme="minorHAnsi"/>
          <w:b/>
          <w:sz w:val="20"/>
          <w:szCs w:val="20"/>
        </w:rPr>
        <w:t>Appointment</w:t>
      </w:r>
      <w:r w:rsidRPr="00301AD5">
        <w:rPr>
          <w:rFonts w:asciiTheme="minorHAnsi" w:hAnsiTheme="minorHAnsi"/>
          <w:sz w:val="20"/>
          <w:szCs w:val="20"/>
        </w:rPr>
        <w:t xml:space="preserve">' means the entering into of a contractual arrangement between the Client and a Candidate (oral or written) under a contract of employment/service or for services whether temporary or permanent. </w:t>
      </w:r>
    </w:p>
    <w:p w:rsidR="00CB6814" w:rsidRDefault="00CB6814" w:rsidP="00CB6814">
      <w:pPr>
        <w:pStyle w:val="Level1"/>
        <w:numPr>
          <w:ilvl w:val="0"/>
          <w:numId w:val="0"/>
        </w:numPr>
        <w:tabs>
          <w:tab w:val="num" w:pos="709"/>
        </w:tabs>
        <w:spacing w:line="240" w:lineRule="auto"/>
        <w:ind w:left="709" w:hanging="709"/>
        <w:contextualSpacing/>
        <w:rPr>
          <w:rFonts w:asciiTheme="minorHAnsi" w:hAnsiTheme="minorHAnsi"/>
          <w:sz w:val="20"/>
          <w:szCs w:val="20"/>
        </w:rPr>
      </w:pPr>
    </w:p>
    <w:p w:rsidR="00CB6814" w:rsidRPr="00301AD5" w:rsidRDefault="00CB6814" w:rsidP="00CB6814">
      <w:pPr>
        <w:pStyle w:val="Level1"/>
        <w:numPr>
          <w:ilvl w:val="0"/>
          <w:numId w:val="2"/>
        </w:numPr>
        <w:tabs>
          <w:tab w:val="clear" w:pos="850"/>
          <w:tab w:val="num" w:pos="709"/>
        </w:tabs>
        <w:spacing w:line="240" w:lineRule="auto"/>
        <w:ind w:left="709" w:hanging="709"/>
        <w:contextualSpacing/>
        <w:rPr>
          <w:rFonts w:asciiTheme="minorHAnsi" w:hAnsiTheme="minorHAnsi"/>
          <w:sz w:val="20"/>
          <w:szCs w:val="20"/>
        </w:rPr>
      </w:pPr>
      <w:r w:rsidRPr="00301AD5">
        <w:rPr>
          <w:rFonts w:asciiTheme="minorHAnsi" w:hAnsiTheme="minorHAnsi"/>
          <w:sz w:val="20"/>
          <w:szCs w:val="20"/>
        </w:rPr>
        <w:t>Fees are charged by the Company and payable by the Client for the introduction of a Candidate leading to their appointment. Should a Candidate introduced to the Client be passed on to a third party by the Client with a resulting engagement of said Candidate then the original Client shall be liable for the Service Fee.</w:t>
      </w:r>
    </w:p>
    <w:p w:rsidR="00CB6814" w:rsidRDefault="00CB6814" w:rsidP="00CB6814">
      <w:pPr>
        <w:pStyle w:val="Level1"/>
        <w:numPr>
          <w:ilvl w:val="0"/>
          <w:numId w:val="0"/>
        </w:numPr>
        <w:tabs>
          <w:tab w:val="num" w:pos="709"/>
        </w:tabs>
        <w:spacing w:line="240" w:lineRule="auto"/>
        <w:ind w:left="709" w:hanging="709"/>
        <w:contextualSpacing/>
        <w:rPr>
          <w:rFonts w:asciiTheme="minorHAnsi" w:hAnsiTheme="minorHAnsi"/>
          <w:sz w:val="20"/>
          <w:szCs w:val="20"/>
        </w:rPr>
      </w:pPr>
    </w:p>
    <w:p w:rsidR="00CB6814" w:rsidRPr="00301AD5" w:rsidRDefault="00CB6814" w:rsidP="00CB6814">
      <w:pPr>
        <w:pStyle w:val="Level1"/>
        <w:numPr>
          <w:ilvl w:val="0"/>
          <w:numId w:val="2"/>
        </w:numPr>
        <w:tabs>
          <w:tab w:val="clear" w:pos="850"/>
          <w:tab w:val="num" w:pos="709"/>
        </w:tabs>
        <w:spacing w:line="240" w:lineRule="auto"/>
        <w:ind w:left="709" w:hanging="709"/>
        <w:contextualSpacing/>
        <w:rPr>
          <w:rFonts w:asciiTheme="minorHAnsi" w:hAnsiTheme="minorHAnsi"/>
          <w:sz w:val="20"/>
          <w:szCs w:val="20"/>
        </w:rPr>
      </w:pPr>
      <w:r w:rsidRPr="00301AD5">
        <w:rPr>
          <w:rFonts w:asciiTheme="minorHAnsi" w:hAnsiTheme="minorHAnsi"/>
          <w:sz w:val="20"/>
          <w:szCs w:val="20"/>
        </w:rPr>
        <w:t xml:space="preserve">The Client agrees to notify the Company immediately upon engagement of a Candidate Introduced to the Client.  Upon the Candidate commencing employment with the Client, the fee as detailed below shall be immediately invoiced and the Client shall pay the fee within thirty (30) days (the </w:t>
      </w:r>
      <w:r w:rsidRPr="00301AD5">
        <w:rPr>
          <w:rFonts w:asciiTheme="minorHAnsi" w:hAnsiTheme="minorHAnsi"/>
          <w:b/>
          <w:sz w:val="20"/>
          <w:szCs w:val="20"/>
        </w:rPr>
        <w:t>Introduction Fee</w:t>
      </w:r>
      <w:r w:rsidRPr="00301AD5">
        <w:rPr>
          <w:rFonts w:asciiTheme="minorHAnsi" w:hAnsiTheme="minorHAnsi"/>
          <w:sz w:val="20"/>
          <w:szCs w:val="20"/>
        </w:rPr>
        <w:t xml:space="preserve">).  Introductions are not exclusive to specific jobs and if the Client engages the Candidate in any capacity within twelve (12) months of the initial Introduction, the Client will be liable to pay the Introduction Fee from the date </w:t>
      </w:r>
      <w:r>
        <w:rPr>
          <w:rFonts w:asciiTheme="minorHAnsi" w:hAnsiTheme="minorHAnsi"/>
          <w:sz w:val="20"/>
          <w:szCs w:val="20"/>
        </w:rPr>
        <w:t>of any such engagement or Appointment</w:t>
      </w:r>
      <w:r w:rsidRPr="00301AD5">
        <w:rPr>
          <w:rFonts w:asciiTheme="minorHAnsi" w:hAnsiTheme="minorHAnsi"/>
          <w:sz w:val="20"/>
          <w:szCs w:val="20"/>
        </w:rPr>
        <w:t>.  The fee shall be based on the total gross annual salary payable by the Client to the Candidate in respect of his or her employment in accordance with the scale ranges below (</w:t>
      </w:r>
      <w:r w:rsidRPr="00301AD5">
        <w:rPr>
          <w:rFonts w:asciiTheme="minorHAnsi" w:hAnsiTheme="minorHAnsi"/>
          <w:b/>
          <w:sz w:val="20"/>
          <w:szCs w:val="20"/>
        </w:rPr>
        <w:t>Gross Annual Salary</w:t>
      </w:r>
      <w:r w:rsidRPr="00301AD5">
        <w:rPr>
          <w:rFonts w:asciiTheme="minorHAnsi" w:hAnsiTheme="minorHAnsi"/>
          <w:sz w:val="20"/>
          <w:szCs w:val="20"/>
        </w:rPr>
        <w:t>).</w:t>
      </w:r>
    </w:p>
    <w:p w:rsidR="00CB6814" w:rsidRPr="00301AD5" w:rsidRDefault="00CB6814" w:rsidP="00CB6814">
      <w:pPr>
        <w:tabs>
          <w:tab w:val="num" w:pos="709"/>
        </w:tabs>
        <w:spacing w:line="240" w:lineRule="auto"/>
        <w:ind w:left="709" w:hanging="709"/>
        <w:contextualSpacing/>
        <w:rPr>
          <w:b/>
          <w:sz w:val="20"/>
          <w:szCs w:val="20"/>
        </w:rPr>
      </w:pPr>
      <w:r>
        <w:rPr>
          <w:b/>
          <w:sz w:val="20"/>
          <w:szCs w:val="20"/>
        </w:rPr>
        <w:tab/>
      </w:r>
      <w:r w:rsidRPr="00301AD5">
        <w:rPr>
          <w:b/>
          <w:sz w:val="20"/>
          <w:szCs w:val="20"/>
        </w:rPr>
        <w:t>Scale of Introduction Fees</w:t>
      </w:r>
    </w:p>
    <w:p w:rsidR="00CB6814" w:rsidRPr="00301AD5" w:rsidRDefault="00CB6814" w:rsidP="00CB6814">
      <w:pPr>
        <w:pStyle w:val="Level4"/>
        <w:tabs>
          <w:tab w:val="num" w:pos="1276"/>
        </w:tabs>
        <w:spacing w:after="0" w:line="240" w:lineRule="auto"/>
        <w:ind w:left="1418" w:hanging="709"/>
        <w:contextualSpacing/>
        <w:rPr>
          <w:rFonts w:asciiTheme="minorHAnsi" w:hAnsiTheme="minorHAnsi"/>
          <w:sz w:val="20"/>
          <w:szCs w:val="20"/>
        </w:rPr>
      </w:pPr>
      <w:r w:rsidRPr="00301AD5">
        <w:rPr>
          <w:rFonts w:asciiTheme="minorHAnsi" w:hAnsiTheme="minorHAnsi"/>
          <w:sz w:val="20"/>
          <w:szCs w:val="20"/>
        </w:rPr>
        <w:t>a sum equal to 17.5% of the Gross Annual Salary up to €29,999</w:t>
      </w:r>
    </w:p>
    <w:p w:rsidR="00CB6814" w:rsidRPr="00301AD5" w:rsidRDefault="00CB6814" w:rsidP="00CB6814">
      <w:pPr>
        <w:pStyle w:val="Level4"/>
        <w:tabs>
          <w:tab w:val="num" w:pos="1276"/>
        </w:tabs>
        <w:spacing w:after="0" w:line="240" w:lineRule="auto"/>
        <w:ind w:left="1418" w:hanging="709"/>
        <w:contextualSpacing/>
        <w:rPr>
          <w:rFonts w:asciiTheme="minorHAnsi" w:hAnsiTheme="minorHAnsi"/>
          <w:sz w:val="20"/>
          <w:szCs w:val="20"/>
        </w:rPr>
      </w:pPr>
      <w:r w:rsidRPr="00301AD5">
        <w:rPr>
          <w:rFonts w:asciiTheme="minorHAnsi" w:hAnsiTheme="minorHAnsi"/>
          <w:sz w:val="20"/>
          <w:szCs w:val="20"/>
        </w:rPr>
        <w:t>a sum equal to 20% of the Gross Annual Salary from €30,000 to €39,999</w:t>
      </w:r>
    </w:p>
    <w:p w:rsidR="00CB6814" w:rsidRPr="00301AD5" w:rsidRDefault="00CB6814" w:rsidP="00CB6814">
      <w:pPr>
        <w:pStyle w:val="Level4"/>
        <w:tabs>
          <w:tab w:val="num" w:pos="1276"/>
        </w:tabs>
        <w:spacing w:after="0" w:line="240" w:lineRule="auto"/>
        <w:ind w:left="1418" w:hanging="709"/>
        <w:contextualSpacing/>
        <w:rPr>
          <w:rFonts w:asciiTheme="minorHAnsi" w:hAnsiTheme="minorHAnsi"/>
          <w:sz w:val="20"/>
          <w:szCs w:val="20"/>
        </w:rPr>
      </w:pPr>
      <w:r w:rsidRPr="00301AD5">
        <w:rPr>
          <w:rFonts w:asciiTheme="minorHAnsi" w:hAnsiTheme="minorHAnsi"/>
          <w:sz w:val="20"/>
          <w:szCs w:val="20"/>
        </w:rPr>
        <w:t>a sum equal to 25% of the Gross Annual Salary from €40,000 to €54,999</w:t>
      </w:r>
    </w:p>
    <w:p w:rsidR="00CB6814" w:rsidRPr="00CB6814" w:rsidRDefault="00CB6814" w:rsidP="00CB6814">
      <w:pPr>
        <w:pStyle w:val="Level4"/>
        <w:tabs>
          <w:tab w:val="num" w:pos="709"/>
          <w:tab w:val="num" w:pos="1276"/>
        </w:tabs>
        <w:spacing w:line="240" w:lineRule="auto"/>
        <w:ind w:left="1418" w:hanging="709"/>
        <w:contextualSpacing/>
        <w:rPr>
          <w:rFonts w:asciiTheme="minorHAnsi" w:hAnsiTheme="minorHAnsi"/>
          <w:sz w:val="20"/>
          <w:szCs w:val="20"/>
        </w:rPr>
      </w:pPr>
      <w:r w:rsidRPr="00301AD5">
        <w:rPr>
          <w:rFonts w:asciiTheme="minorHAnsi" w:hAnsiTheme="minorHAnsi"/>
          <w:sz w:val="20"/>
          <w:szCs w:val="20"/>
        </w:rPr>
        <w:t>a sum equal to 30% of the Gross Annual Salary from €55,000 +</w:t>
      </w:r>
    </w:p>
    <w:p w:rsidR="00CB6814" w:rsidRPr="00301AD5" w:rsidRDefault="00CB6814" w:rsidP="00CB6814">
      <w:pPr>
        <w:pStyle w:val="Level1"/>
        <w:tabs>
          <w:tab w:val="clear" w:pos="850"/>
          <w:tab w:val="num" w:pos="709"/>
        </w:tabs>
        <w:spacing w:line="240" w:lineRule="auto"/>
        <w:ind w:left="709" w:hanging="709"/>
        <w:contextualSpacing/>
        <w:rPr>
          <w:rFonts w:asciiTheme="minorHAnsi" w:hAnsiTheme="minorHAnsi"/>
          <w:sz w:val="20"/>
          <w:szCs w:val="20"/>
        </w:rPr>
      </w:pPr>
      <w:r w:rsidRPr="00301AD5">
        <w:rPr>
          <w:rFonts w:asciiTheme="minorHAnsi" w:hAnsiTheme="minorHAnsi"/>
          <w:b/>
          <w:sz w:val="20"/>
          <w:szCs w:val="20"/>
        </w:rPr>
        <w:t>Guarantee Period</w:t>
      </w:r>
      <w:r w:rsidRPr="00301AD5">
        <w:rPr>
          <w:rFonts w:asciiTheme="minorHAnsi" w:hAnsiTheme="minorHAnsi"/>
          <w:sz w:val="20"/>
          <w:szCs w:val="20"/>
        </w:rPr>
        <w:t xml:space="preserve">.  The Company </w:t>
      </w:r>
      <w:proofErr w:type="gramStart"/>
      <w:r w:rsidRPr="00301AD5">
        <w:rPr>
          <w:rFonts w:asciiTheme="minorHAnsi" w:hAnsiTheme="minorHAnsi"/>
          <w:sz w:val="20"/>
          <w:szCs w:val="20"/>
        </w:rPr>
        <w:t>confirms</w:t>
      </w:r>
      <w:proofErr w:type="gramEnd"/>
      <w:r w:rsidRPr="00301AD5">
        <w:rPr>
          <w:rFonts w:asciiTheme="minorHAnsi" w:hAnsiTheme="minorHAnsi"/>
          <w:sz w:val="20"/>
          <w:szCs w:val="20"/>
        </w:rPr>
        <w:t xml:space="preserve"> and the Client accepts that the service provided is one of Introduction and not retention.  In the event that any Candidate terminates an engagement within twelve (12) weeks of the specified date upon which such Candidate commenced work for the Client</w:t>
      </w:r>
      <w:r>
        <w:rPr>
          <w:rFonts w:asciiTheme="minorHAnsi" w:hAnsiTheme="minorHAnsi"/>
          <w:sz w:val="20"/>
          <w:szCs w:val="20"/>
        </w:rPr>
        <w:t>, other than in the case of redundancy in which case the following shall not apply,</w:t>
      </w:r>
      <w:r w:rsidRPr="00301AD5">
        <w:rPr>
          <w:rFonts w:asciiTheme="minorHAnsi" w:hAnsiTheme="minorHAnsi"/>
          <w:sz w:val="20"/>
          <w:szCs w:val="20"/>
        </w:rPr>
        <w:t xml:space="preserve"> and provided that (</w:t>
      </w:r>
      <w:proofErr w:type="spellStart"/>
      <w:r w:rsidRPr="00301AD5">
        <w:rPr>
          <w:rFonts w:asciiTheme="minorHAnsi" w:hAnsiTheme="minorHAnsi"/>
          <w:sz w:val="20"/>
          <w:szCs w:val="20"/>
        </w:rPr>
        <w:t>i</w:t>
      </w:r>
      <w:proofErr w:type="spellEnd"/>
      <w:r w:rsidRPr="00301AD5">
        <w:rPr>
          <w:rFonts w:asciiTheme="minorHAnsi" w:hAnsiTheme="minorHAnsi"/>
          <w:sz w:val="20"/>
          <w:szCs w:val="20"/>
        </w:rPr>
        <w:t>) the Client notifies the Company in writing of the termination of the engagement within seven (7) days; and (ii) the Client does not engage the Candidate within twelve (12) months from the date of termination; and (iii) all monies due from the Client have been paid in accordance with this Agreement (i.e. within 30 days of issue of invoice), the Company will pay the Client a refund against the Introduction Fee as follows:</w:t>
      </w:r>
    </w:p>
    <w:p w:rsidR="00CB6814" w:rsidRPr="00301AD5" w:rsidRDefault="00CB6814" w:rsidP="00CB6814">
      <w:pPr>
        <w:tabs>
          <w:tab w:val="num" w:pos="709"/>
        </w:tabs>
        <w:spacing w:line="240" w:lineRule="auto"/>
        <w:ind w:left="709" w:hanging="709"/>
        <w:contextualSpacing/>
        <w:rPr>
          <w:b/>
          <w:sz w:val="20"/>
          <w:szCs w:val="20"/>
        </w:rPr>
      </w:pPr>
      <w:r>
        <w:rPr>
          <w:b/>
          <w:sz w:val="20"/>
          <w:szCs w:val="20"/>
        </w:rPr>
        <w:tab/>
      </w:r>
      <w:r>
        <w:rPr>
          <w:b/>
          <w:sz w:val="20"/>
          <w:szCs w:val="20"/>
        </w:rPr>
        <w:tab/>
      </w:r>
      <w:r>
        <w:rPr>
          <w:b/>
          <w:sz w:val="20"/>
          <w:szCs w:val="20"/>
        </w:rPr>
        <w:tab/>
      </w:r>
      <w:r>
        <w:rPr>
          <w:b/>
          <w:sz w:val="20"/>
          <w:szCs w:val="20"/>
        </w:rPr>
        <w:tab/>
      </w:r>
      <w:r w:rsidRPr="00301AD5">
        <w:rPr>
          <w:b/>
          <w:sz w:val="20"/>
          <w:szCs w:val="20"/>
        </w:rPr>
        <w:t>Period of Employment</w:t>
      </w:r>
      <w:r w:rsidRPr="00301AD5">
        <w:rPr>
          <w:b/>
          <w:sz w:val="20"/>
          <w:szCs w:val="20"/>
        </w:rPr>
        <w:tab/>
      </w:r>
      <w:r w:rsidRPr="00301AD5">
        <w:rPr>
          <w:b/>
          <w:sz w:val="20"/>
          <w:szCs w:val="20"/>
        </w:rPr>
        <w:tab/>
        <w:t>Refund Allowed</w:t>
      </w:r>
    </w:p>
    <w:p w:rsidR="00CB6814" w:rsidRPr="00301AD5" w:rsidRDefault="00CB6814" w:rsidP="00CB6814">
      <w:pPr>
        <w:tabs>
          <w:tab w:val="num" w:pos="709"/>
        </w:tabs>
        <w:spacing w:line="240" w:lineRule="auto"/>
        <w:ind w:left="709" w:hanging="709"/>
        <w:contextualSpacing/>
        <w:rPr>
          <w:b/>
          <w:sz w:val="20"/>
          <w:szCs w:val="20"/>
        </w:rPr>
      </w:pPr>
      <w:r>
        <w:rPr>
          <w:sz w:val="20"/>
          <w:szCs w:val="20"/>
        </w:rPr>
        <w:tab/>
      </w:r>
      <w:r>
        <w:rPr>
          <w:sz w:val="20"/>
          <w:szCs w:val="20"/>
        </w:rPr>
        <w:tab/>
      </w:r>
      <w:r>
        <w:rPr>
          <w:sz w:val="20"/>
          <w:szCs w:val="20"/>
        </w:rPr>
        <w:tab/>
      </w:r>
      <w:r>
        <w:rPr>
          <w:sz w:val="20"/>
          <w:szCs w:val="20"/>
        </w:rPr>
        <w:tab/>
      </w:r>
      <w:r w:rsidRPr="00301AD5">
        <w:rPr>
          <w:sz w:val="20"/>
          <w:szCs w:val="20"/>
        </w:rPr>
        <w:t xml:space="preserve">up to four (4) </w:t>
      </w:r>
      <w:r>
        <w:rPr>
          <w:sz w:val="20"/>
          <w:szCs w:val="20"/>
        </w:rPr>
        <w:t>weeks</w:t>
      </w:r>
      <w:r>
        <w:rPr>
          <w:sz w:val="20"/>
          <w:szCs w:val="20"/>
        </w:rPr>
        <w:tab/>
      </w:r>
      <w:r>
        <w:rPr>
          <w:sz w:val="20"/>
          <w:szCs w:val="20"/>
        </w:rPr>
        <w:tab/>
      </w:r>
      <w:r w:rsidRPr="00301AD5">
        <w:rPr>
          <w:sz w:val="20"/>
          <w:szCs w:val="20"/>
        </w:rPr>
        <w:t>75% refund</w:t>
      </w:r>
    </w:p>
    <w:p w:rsidR="00CB6814" w:rsidRPr="00301AD5" w:rsidRDefault="00CB6814" w:rsidP="00CB6814">
      <w:pPr>
        <w:tabs>
          <w:tab w:val="num" w:pos="709"/>
        </w:tabs>
        <w:spacing w:line="240" w:lineRule="auto"/>
        <w:ind w:left="709" w:hanging="709"/>
        <w:contextualSpacing/>
        <w:rPr>
          <w:sz w:val="20"/>
          <w:szCs w:val="20"/>
        </w:rPr>
      </w:pPr>
      <w:r>
        <w:rPr>
          <w:sz w:val="20"/>
          <w:szCs w:val="20"/>
        </w:rPr>
        <w:tab/>
      </w:r>
      <w:r>
        <w:rPr>
          <w:sz w:val="20"/>
          <w:szCs w:val="20"/>
        </w:rPr>
        <w:tab/>
      </w:r>
      <w:r>
        <w:rPr>
          <w:sz w:val="20"/>
          <w:szCs w:val="20"/>
        </w:rPr>
        <w:tab/>
      </w:r>
      <w:r>
        <w:rPr>
          <w:sz w:val="20"/>
          <w:szCs w:val="20"/>
        </w:rPr>
        <w:tab/>
      </w:r>
      <w:r w:rsidRPr="00301AD5">
        <w:rPr>
          <w:sz w:val="20"/>
          <w:szCs w:val="20"/>
        </w:rPr>
        <w:t>up to eight (8) weeks</w:t>
      </w:r>
      <w:r w:rsidRPr="00301AD5">
        <w:rPr>
          <w:sz w:val="20"/>
          <w:szCs w:val="20"/>
        </w:rPr>
        <w:tab/>
      </w:r>
      <w:r w:rsidRPr="00301AD5">
        <w:rPr>
          <w:sz w:val="20"/>
          <w:szCs w:val="20"/>
        </w:rPr>
        <w:tab/>
        <w:t>50% refund</w:t>
      </w:r>
    </w:p>
    <w:p w:rsidR="00CB6814" w:rsidRPr="00301AD5" w:rsidRDefault="00CB6814" w:rsidP="00CB6814">
      <w:pPr>
        <w:tabs>
          <w:tab w:val="num" w:pos="709"/>
        </w:tabs>
        <w:spacing w:line="240" w:lineRule="auto"/>
        <w:ind w:left="709" w:hanging="709"/>
        <w:contextualSpacing/>
        <w:rPr>
          <w:sz w:val="20"/>
          <w:szCs w:val="20"/>
        </w:rPr>
      </w:pPr>
      <w:r>
        <w:rPr>
          <w:sz w:val="20"/>
          <w:szCs w:val="20"/>
        </w:rPr>
        <w:tab/>
      </w:r>
      <w:r>
        <w:rPr>
          <w:sz w:val="20"/>
          <w:szCs w:val="20"/>
        </w:rPr>
        <w:tab/>
      </w:r>
      <w:r>
        <w:rPr>
          <w:sz w:val="20"/>
          <w:szCs w:val="20"/>
        </w:rPr>
        <w:tab/>
      </w:r>
      <w:r>
        <w:rPr>
          <w:sz w:val="20"/>
          <w:szCs w:val="20"/>
        </w:rPr>
        <w:tab/>
      </w:r>
      <w:r w:rsidRPr="00301AD5">
        <w:rPr>
          <w:sz w:val="20"/>
          <w:szCs w:val="20"/>
        </w:rPr>
        <w:t>up to twelve (12) weeks</w:t>
      </w:r>
      <w:r w:rsidRPr="00301AD5">
        <w:rPr>
          <w:sz w:val="20"/>
          <w:szCs w:val="20"/>
        </w:rPr>
        <w:tab/>
      </w:r>
      <w:r w:rsidRPr="00301AD5">
        <w:rPr>
          <w:sz w:val="20"/>
          <w:szCs w:val="20"/>
        </w:rPr>
        <w:tab/>
        <w:t>25% refund</w:t>
      </w:r>
    </w:p>
    <w:p w:rsidR="00CB6814" w:rsidRDefault="00CB6814" w:rsidP="00CB6814">
      <w:pPr>
        <w:pStyle w:val="Body2"/>
        <w:tabs>
          <w:tab w:val="num" w:pos="709"/>
        </w:tabs>
        <w:spacing w:line="240" w:lineRule="auto"/>
        <w:ind w:left="709" w:hanging="709"/>
        <w:contextualSpacing/>
        <w:rPr>
          <w:b/>
          <w:sz w:val="20"/>
          <w:szCs w:val="20"/>
        </w:rPr>
      </w:pPr>
      <w:r>
        <w:rPr>
          <w:rFonts w:asciiTheme="minorHAnsi" w:hAnsiTheme="minorHAnsi"/>
          <w:sz w:val="20"/>
          <w:szCs w:val="20"/>
        </w:rPr>
        <w:tab/>
      </w:r>
      <w:r w:rsidRPr="00301AD5">
        <w:rPr>
          <w:rFonts w:asciiTheme="minorHAnsi" w:hAnsiTheme="minorHAnsi"/>
          <w:sz w:val="20"/>
          <w:szCs w:val="20"/>
        </w:rPr>
        <w:t>This guarantee period does not apply to Temporary or Contract assignments or those engagements arising from a Temporary engagement or Contract assignment which lead to a Permanent Appointment.  Where a credit note is raised by the Company in respect of a refund the balance due should be paid by the Client within fourteen (14) days.</w:t>
      </w:r>
    </w:p>
    <w:p w:rsidR="00CB6814" w:rsidRPr="00CB6814" w:rsidRDefault="00CB6814" w:rsidP="00254491">
      <w:pPr>
        <w:pStyle w:val="Level1"/>
        <w:numPr>
          <w:ilvl w:val="0"/>
          <w:numId w:val="0"/>
        </w:numPr>
        <w:spacing w:line="240" w:lineRule="auto"/>
        <w:ind w:left="850" w:hanging="850"/>
        <w:contextualSpacing/>
        <w:rPr>
          <w:rFonts w:asciiTheme="minorHAnsi" w:hAnsiTheme="minorHAnsi"/>
          <w:szCs w:val="20"/>
        </w:rPr>
      </w:pPr>
      <w:bookmarkStart w:id="0" w:name="_GoBack"/>
      <w:bookmarkEnd w:id="0"/>
    </w:p>
    <w:sectPr w:rsidR="00CB6814" w:rsidRPr="00CB6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49B87BCE"/>
    <w:lvl w:ilvl="0">
      <w:start w:val="1"/>
      <w:numFmt w:val="decimal"/>
      <w:pStyle w:val="Level1"/>
      <w:lvlText w:val="%1."/>
      <w:lvlJc w:val="left"/>
      <w:pPr>
        <w:tabs>
          <w:tab w:val="num" w:pos="850"/>
        </w:tabs>
        <w:ind w:left="850" w:hanging="850"/>
      </w:pPr>
      <w:rPr>
        <w:rFonts w:ascii="Calibri" w:hAnsi="Calibri"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Calibri" w:hAnsi="Calibri"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850"/>
        </w:tabs>
        <w:ind w:left="850" w:hanging="850"/>
      </w:pPr>
      <w:rPr>
        <w:rFonts w:ascii="Calibri" w:hAnsi="Calibri"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1417"/>
        </w:tabs>
        <w:ind w:left="1417" w:hanging="567"/>
      </w:pPr>
      <w:rPr>
        <w:rFonts w:ascii="Calibri" w:hAnsi="Calibri"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1984"/>
        </w:tabs>
        <w:ind w:left="1984" w:hanging="567"/>
      </w:pPr>
      <w:rPr>
        <w:rFonts w:ascii="Calibri" w:hAnsi="Calibri"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A0"/>
    <w:rsid w:val="00254491"/>
    <w:rsid w:val="006376A0"/>
    <w:rsid w:val="00A44B95"/>
    <w:rsid w:val="00CB6814"/>
    <w:rsid w:val="00F357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A59E"/>
  <w15:chartTrackingRefBased/>
  <w15:docId w15:val="{0FE5BF83-D9FA-4FC4-A715-D12F754B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6A0"/>
    <w:pPr>
      <w:spacing w:after="200" w:line="276" w:lineRule="auto"/>
    </w:pPr>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6376A0"/>
    <w:pPr>
      <w:adjustRightInd w:val="0"/>
      <w:spacing w:after="210" w:line="270" w:lineRule="atLeast"/>
      <w:jc w:val="both"/>
    </w:pPr>
    <w:rPr>
      <w:rFonts w:ascii="Calibri" w:eastAsia="Calibri" w:hAnsi="Calibri" w:cs="Calibri"/>
      <w:sz w:val="21"/>
      <w:szCs w:val="21"/>
    </w:rPr>
  </w:style>
  <w:style w:type="paragraph" w:customStyle="1" w:styleId="Level1">
    <w:name w:val="Level 1"/>
    <w:basedOn w:val="Normal"/>
    <w:uiPriority w:val="99"/>
    <w:rsid w:val="006376A0"/>
    <w:pPr>
      <w:numPr>
        <w:numId w:val="1"/>
      </w:numPr>
      <w:adjustRightInd w:val="0"/>
      <w:spacing w:after="210" w:line="270" w:lineRule="atLeast"/>
      <w:jc w:val="both"/>
      <w:outlineLvl w:val="0"/>
    </w:pPr>
    <w:rPr>
      <w:rFonts w:ascii="Calibri" w:eastAsia="Calibri" w:hAnsi="Calibri" w:cs="Calibri"/>
      <w:sz w:val="21"/>
      <w:szCs w:val="21"/>
    </w:rPr>
  </w:style>
  <w:style w:type="paragraph" w:customStyle="1" w:styleId="Level2">
    <w:name w:val="Level 2"/>
    <w:basedOn w:val="Normal"/>
    <w:uiPriority w:val="99"/>
    <w:rsid w:val="006376A0"/>
    <w:pPr>
      <w:numPr>
        <w:ilvl w:val="1"/>
        <w:numId w:val="1"/>
      </w:numPr>
      <w:adjustRightInd w:val="0"/>
      <w:spacing w:after="210" w:line="270" w:lineRule="atLeast"/>
      <w:jc w:val="both"/>
      <w:outlineLvl w:val="1"/>
    </w:pPr>
    <w:rPr>
      <w:rFonts w:ascii="Calibri" w:eastAsia="Calibri" w:hAnsi="Calibri" w:cs="Calibri"/>
      <w:sz w:val="21"/>
      <w:szCs w:val="21"/>
    </w:rPr>
  </w:style>
  <w:style w:type="paragraph" w:customStyle="1" w:styleId="Level3">
    <w:name w:val="Level 3"/>
    <w:basedOn w:val="Normal"/>
    <w:uiPriority w:val="99"/>
    <w:rsid w:val="006376A0"/>
    <w:pPr>
      <w:numPr>
        <w:ilvl w:val="2"/>
        <w:numId w:val="1"/>
      </w:numPr>
      <w:adjustRightInd w:val="0"/>
      <w:spacing w:after="210" w:line="270" w:lineRule="atLeast"/>
      <w:jc w:val="both"/>
      <w:outlineLvl w:val="2"/>
    </w:pPr>
    <w:rPr>
      <w:rFonts w:ascii="Calibri" w:eastAsia="Calibri" w:hAnsi="Calibri" w:cs="Calibri"/>
      <w:sz w:val="21"/>
      <w:szCs w:val="21"/>
    </w:rPr>
  </w:style>
  <w:style w:type="paragraph" w:customStyle="1" w:styleId="Level4">
    <w:name w:val="Level 4"/>
    <w:basedOn w:val="Normal"/>
    <w:uiPriority w:val="99"/>
    <w:rsid w:val="006376A0"/>
    <w:pPr>
      <w:numPr>
        <w:ilvl w:val="3"/>
        <w:numId w:val="1"/>
      </w:numPr>
      <w:adjustRightInd w:val="0"/>
      <w:spacing w:after="210" w:line="270" w:lineRule="atLeast"/>
      <w:jc w:val="both"/>
      <w:outlineLvl w:val="3"/>
    </w:pPr>
    <w:rPr>
      <w:rFonts w:ascii="Calibri" w:eastAsia="Calibri" w:hAnsi="Calibri" w:cs="Calibri"/>
      <w:sz w:val="21"/>
      <w:szCs w:val="21"/>
    </w:rPr>
  </w:style>
  <w:style w:type="paragraph" w:customStyle="1" w:styleId="Level5">
    <w:name w:val="Level 5"/>
    <w:basedOn w:val="Normal"/>
    <w:uiPriority w:val="99"/>
    <w:rsid w:val="006376A0"/>
    <w:pPr>
      <w:numPr>
        <w:ilvl w:val="4"/>
        <w:numId w:val="1"/>
      </w:numPr>
      <w:adjustRightInd w:val="0"/>
      <w:spacing w:after="210" w:line="270" w:lineRule="atLeast"/>
      <w:jc w:val="both"/>
      <w:outlineLvl w:val="4"/>
    </w:pPr>
    <w:rPr>
      <w:rFonts w:ascii="Calibri" w:eastAsia="Calibri" w:hAnsi="Calibri" w:cs="Calibri"/>
      <w:sz w:val="21"/>
      <w:szCs w:val="21"/>
    </w:rPr>
  </w:style>
  <w:style w:type="paragraph" w:styleId="ListParagraph">
    <w:name w:val="List Paragraph"/>
    <w:basedOn w:val="Normal"/>
    <w:uiPriority w:val="34"/>
    <w:qFormat/>
    <w:rsid w:val="006376A0"/>
    <w:pPr>
      <w:ind w:left="720"/>
      <w:contextualSpacing/>
    </w:pPr>
  </w:style>
  <w:style w:type="paragraph" w:customStyle="1" w:styleId="Body2">
    <w:name w:val="Body 2"/>
    <w:basedOn w:val="Body"/>
    <w:uiPriority w:val="99"/>
    <w:rsid w:val="00CB6814"/>
    <w:pPr>
      <w:ind w:left="850"/>
    </w:pPr>
  </w:style>
  <w:style w:type="paragraph" w:styleId="BalloonText">
    <w:name w:val="Balloon Text"/>
    <w:basedOn w:val="Normal"/>
    <w:link w:val="BalloonTextChar"/>
    <w:uiPriority w:val="99"/>
    <w:semiHidden/>
    <w:unhideWhenUsed/>
    <w:rsid w:val="00A44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B95"/>
    <w:rPr>
      <w:rFonts w:ascii="Segoe UI" w:eastAsiaTheme="minorEastAsia"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EC142108CD4D1280B8A181CF22F969"/>
        <w:category>
          <w:name w:val="General"/>
          <w:gallery w:val="placeholder"/>
        </w:category>
        <w:types>
          <w:type w:val="bbPlcHdr"/>
        </w:types>
        <w:behaviors>
          <w:behavior w:val="content"/>
        </w:behaviors>
        <w:guid w:val="{72E3882D-907D-4011-B287-7ABFBA95B8B9}"/>
      </w:docPartPr>
      <w:docPartBody>
        <w:p w:rsidR="008401F8" w:rsidRDefault="008D0697" w:rsidP="008D0697">
          <w:pPr>
            <w:pStyle w:val="82EC142108CD4D1280B8A181CF22F969"/>
          </w:pPr>
          <w:r w:rsidRPr="00483B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97"/>
    <w:rsid w:val="008401F8"/>
    <w:rsid w:val="008D06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697"/>
    <w:rPr>
      <w:color w:val="808080"/>
    </w:rPr>
  </w:style>
  <w:style w:type="paragraph" w:customStyle="1" w:styleId="82EC142108CD4D1280B8A181CF22F969">
    <w:name w:val="82EC142108CD4D1280B8A181CF22F969"/>
    <w:rsid w:val="008D0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Skelton</dc:creator>
  <cp:keywords/>
  <dc:description/>
  <cp:lastModifiedBy>Martin Pathan</cp:lastModifiedBy>
  <cp:revision>2</cp:revision>
  <cp:lastPrinted>2018-10-08T09:41:00Z</cp:lastPrinted>
  <dcterms:created xsi:type="dcterms:W3CDTF">2018-10-08T09:50:00Z</dcterms:created>
  <dcterms:modified xsi:type="dcterms:W3CDTF">2018-10-08T09:50:00Z</dcterms:modified>
</cp:coreProperties>
</file>